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4D3A" w:rsidRPr="00184A0B" w:rsidRDefault="00804D3A" w:rsidP="007B1DBD">
      <w:pPr>
        <w:jc w:val="center"/>
        <w:rPr>
          <w:b/>
          <w:bCs/>
        </w:rPr>
      </w:pPr>
      <w:r w:rsidRPr="00184A0B">
        <w:rPr>
          <w:b/>
          <w:bCs/>
        </w:rPr>
        <w:t>СРАВНИТЕЛЬНАЯ ТАБЛИЦА</w:t>
      </w:r>
    </w:p>
    <w:p w:rsidR="009E168A" w:rsidRPr="009E168A" w:rsidRDefault="007B1DBD" w:rsidP="007B1DBD">
      <w:pPr>
        <w:spacing w:before="400" w:after="400"/>
        <w:ind w:left="284" w:right="283"/>
        <w:jc w:val="center"/>
        <w:rPr>
          <w:rFonts w:eastAsiaTheme="minorEastAsia"/>
          <w:b/>
          <w:bCs/>
          <w:sz w:val="28"/>
          <w:szCs w:val="28"/>
        </w:rPr>
      </w:pPr>
      <w:r>
        <w:rPr>
          <w:rFonts w:eastAsia="Times New Roman"/>
          <w:b/>
          <w:sz w:val="28"/>
          <w:szCs w:val="28"/>
        </w:rPr>
        <w:t xml:space="preserve">     </w:t>
      </w:r>
      <w:r w:rsidR="00804D3A" w:rsidRPr="00173E35">
        <w:rPr>
          <w:rFonts w:eastAsia="Times New Roman"/>
          <w:b/>
          <w:sz w:val="28"/>
          <w:szCs w:val="28"/>
        </w:rPr>
        <w:t>к проекту</w:t>
      </w:r>
      <w:r w:rsidR="005A0F86" w:rsidRPr="00173E35">
        <w:rPr>
          <w:rFonts w:eastAsia="Times New Roman"/>
          <w:b/>
          <w:sz w:val="28"/>
          <w:szCs w:val="28"/>
        </w:rPr>
        <w:t xml:space="preserve"> постановления Правительства Кыргызской Республики</w:t>
      </w:r>
      <w:r w:rsidR="005A0F86">
        <w:rPr>
          <w:rFonts w:eastAsiaTheme="minorEastAsia"/>
        </w:rPr>
        <w:t xml:space="preserve"> </w:t>
      </w:r>
      <w:r w:rsidR="00855F4B" w:rsidRPr="00855F4B">
        <w:rPr>
          <w:rFonts w:eastAsiaTheme="minorEastAsia"/>
          <w:b/>
          <w:sz w:val="28"/>
          <w:szCs w:val="28"/>
        </w:rPr>
        <w:t>«</w:t>
      </w:r>
      <w:r w:rsidR="00F95659" w:rsidRPr="00C650E2">
        <w:rPr>
          <w:rFonts w:eastAsia="Times New Roman"/>
          <w:b/>
          <w:bCs/>
          <w:sz w:val="28"/>
          <w:szCs w:val="28"/>
        </w:rPr>
        <w:t xml:space="preserve">О внесении изменений в </w:t>
      </w:r>
      <w:r w:rsidR="0071620D">
        <w:rPr>
          <w:rFonts w:eastAsia="Times New Roman"/>
          <w:b/>
          <w:bCs/>
          <w:sz w:val="28"/>
          <w:szCs w:val="28"/>
        </w:rPr>
        <w:t xml:space="preserve">некоторые решения </w:t>
      </w:r>
      <w:r w:rsidR="00F95659" w:rsidRPr="00C650E2">
        <w:rPr>
          <w:rFonts w:eastAsia="Times New Roman"/>
          <w:b/>
          <w:bCs/>
          <w:sz w:val="28"/>
          <w:szCs w:val="28"/>
        </w:rPr>
        <w:t>Прав</w:t>
      </w:r>
      <w:r w:rsidR="0071620D">
        <w:rPr>
          <w:rFonts w:eastAsia="Times New Roman"/>
          <w:b/>
          <w:bCs/>
          <w:sz w:val="28"/>
          <w:szCs w:val="28"/>
        </w:rPr>
        <w:t>ительства Кыргызской Республики</w:t>
      </w:r>
      <w:r w:rsidR="00E82B70">
        <w:rPr>
          <w:rFonts w:eastAsia="Times New Roman"/>
          <w:b/>
          <w:bCs/>
          <w:sz w:val="28"/>
          <w:szCs w:val="28"/>
        </w:rPr>
        <w:t xml:space="preserve"> </w:t>
      </w:r>
      <w:r w:rsidR="00E82B70" w:rsidRPr="00597503">
        <w:rPr>
          <w:rFonts w:eastAsia="Times New Roman"/>
          <w:b/>
          <w:bCs/>
          <w:sz w:val="28"/>
          <w:szCs w:val="28"/>
        </w:rPr>
        <w:t>в сфере налоговой политики</w:t>
      </w:r>
      <w:r w:rsidR="0071620D">
        <w:rPr>
          <w:rFonts w:eastAsia="Times New Roman"/>
          <w:b/>
          <w:bCs/>
          <w:sz w:val="28"/>
          <w:szCs w:val="28"/>
        </w:rPr>
        <w:t>»</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9"/>
        <w:gridCol w:w="142"/>
        <w:gridCol w:w="7088"/>
      </w:tblGrid>
      <w:tr w:rsidR="00804D3A" w:rsidRPr="00184A0B" w:rsidTr="007B1DBD">
        <w:trPr>
          <w:trHeight w:val="364"/>
        </w:trPr>
        <w:tc>
          <w:tcPr>
            <w:tcW w:w="7621" w:type="dxa"/>
            <w:gridSpan w:val="2"/>
            <w:tcBorders>
              <w:top w:val="single" w:sz="4" w:space="0" w:color="auto"/>
              <w:left w:val="single" w:sz="4" w:space="0" w:color="auto"/>
              <w:bottom w:val="single" w:sz="4" w:space="0" w:color="auto"/>
              <w:right w:val="single" w:sz="4" w:space="0" w:color="auto"/>
            </w:tcBorders>
          </w:tcPr>
          <w:p w:rsidR="00804D3A" w:rsidRPr="00184A0B" w:rsidRDefault="00804D3A" w:rsidP="007B1DBD">
            <w:pPr>
              <w:jc w:val="center"/>
              <w:rPr>
                <w:b/>
              </w:rPr>
            </w:pPr>
            <w:r w:rsidRPr="00184A0B">
              <w:rPr>
                <w:b/>
              </w:rPr>
              <w:t>Действующая редакция</w:t>
            </w:r>
          </w:p>
        </w:tc>
        <w:tc>
          <w:tcPr>
            <w:tcW w:w="7088" w:type="dxa"/>
            <w:tcBorders>
              <w:top w:val="single" w:sz="4" w:space="0" w:color="auto"/>
              <w:left w:val="single" w:sz="4" w:space="0" w:color="auto"/>
              <w:bottom w:val="single" w:sz="4" w:space="0" w:color="auto"/>
              <w:right w:val="single" w:sz="4" w:space="0" w:color="auto"/>
            </w:tcBorders>
            <w:hideMark/>
          </w:tcPr>
          <w:p w:rsidR="00804D3A" w:rsidRPr="00184A0B" w:rsidRDefault="00804D3A" w:rsidP="009E168A">
            <w:pPr>
              <w:jc w:val="center"/>
              <w:rPr>
                <w:b/>
              </w:rPr>
            </w:pPr>
            <w:r w:rsidRPr="00184A0B">
              <w:rPr>
                <w:b/>
              </w:rPr>
              <w:t>Предлагаемая редакция</w:t>
            </w:r>
          </w:p>
        </w:tc>
      </w:tr>
      <w:tr w:rsidR="0071620D" w:rsidRPr="00184A0B" w:rsidTr="00CD0CA6">
        <w:trPr>
          <w:trHeight w:val="1014"/>
        </w:trPr>
        <w:tc>
          <w:tcPr>
            <w:tcW w:w="14709" w:type="dxa"/>
            <w:gridSpan w:val="3"/>
            <w:tcBorders>
              <w:top w:val="single" w:sz="4" w:space="0" w:color="auto"/>
              <w:left w:val="single" w:sz="4" w:space="0" w:color="auto"/>
              <w:bottom w:val="single" w:sz="4" w:space="0" w:color="auto"/>
              <w:right w:val="single" w:sz="4" w:space="0" w:color="auto"/>
            </w:tcBorders>
          </w:tcPr>
          <w:p w:rsidR="0071620D" w:rsidRPr="0071620D" w:rsidRDefault="0071620D" w:rsidP="009E168A">
            <w:pPr>
              <w:pStyle w:val="tkNazvanie"/>
              <w:spacing w:before="0" w:after="0" w:line="240" w:lineRule="auto"/>
              <w:ind w:left="0" w:right="-1"/>
              <w:rPr>
                <w:rFonts w:ascii="Times New Roman" w:hAnsi="Times New Roman" w:cs="Times New Roman"/>
                <w:b w:val="0"/>
                <w:sz w:val="28"/>
                <w:szCs w:val="28"/>
              </w:rPr>
            </w:pPr>
            <w:r w:rsidRPr="0071620D">
              <w:rPr>
                <w:rFonts w:ascii="Times New Roman" w:hAnsi="Times New Roman" w:cs="Times New Roman"/>
                <w:b w:val="0"/>
                <w:sz w:val="28"/>
                <w:szCs w:val="28"/>
              </w:rPr>
              <w:t>постановление Правительства Кыргызской Республики «Об утверждении форм налоговой отчетности по косвенным налогам, заявления о ввозе товаров и уплате косвенных налогов, уведомления о предстоящем получении подакцизных товаров, ввозе (вывозе) товаров и порядков их заполнения» от 22 апреля 2015 года № 234</w:t>
            </w:r>
          </w:p>
        </w:tc>
      </w:tr>
      <w:tr w:rsidR="0071620D" w:rsidRPr="00184A0B" w:rsidTr="0071620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71620D" w:rsidRPr="0071620D" w:rsidRDefault="00CB6F51" w:rsidP="009E168A">
            <w:pPr>
              <w:pStyle w:val="tkNazvanie"/>
              <w:spacing w:before="0" w:after="0" w:line="240" w:lineRule="auto"/>
              <w:ind w:left="0" w:right="-1"/>
              <w:rPr>
                <w:rFonts w:ascii="Times New Roman" w:hAnsi="Times New Roman" w:cs="Times New Roman"/>
                <w:sz w:val="28"/>
                <w:szCs w:val="28"/>
              </w:rPr>
            </w:pPr>
            <w:r>
              <w:object w:dxaOrig="11118" w:dyaOrig="160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5pt;height:315.5pt" o:ole="">
                  <v:imagedata r:id="rId8" o:title=""/>
                </v:shape>
                <o:OLEObject Type="Embed" ProgID="Visio.Drawing.11" ShapeID="_x0000_i1025" DrawAspect="Content" ObjectID="_1664191697" r:id="rId9"/>
              </w:object>
            </w:r>
          </w:p>
        </w:tc>
        <w:tc>
          <w:tcPr>
            <w:tcW w:w="7088" w:type="dxa"/>
            <w:tcBorders>
              <w:top w:val="single" w:sz="4" w:space="0" w:color="auto"/>
              <w:left w:val="single" w:sz="4" w:space="0" w:color="auto"/>
              <w:bottom w:val="single" w:sz="4" w:space="0" w:color="auto"/>
              <w:right w:val="single" w:sz="4" w:space="0" w:color="auto"/>
            </w:tcBorders>
          </w:tcPr>
          <w:p w:rsidR="0071620D" w:rsidRPr="0071620D" w:rsidRDefault="004A6FA0" w:rsidP="009E168A">
            <w:pPr>
              <w:pStyle w:val="tkNazvanie"/>
              <w:spacing w:before="0" w:after="0" w:line="240" w:lineRule="auto"/>
              <w:ind w:left="0" w:right="-1"/>
              <w:rPr>
                <w:rFonts w:ascii="Times New Roman" w:hAnsi="Times New Roman" w:cs="Times New Roman"/>
                <w:sz w:val="28"/>
                <w:szCs w:val="28"/>
              </w:rPr>
            </w:pPr>
            <w:r>
              <w:object w:dxaOrig="12133" w:dyaOrig="16435">
                <v:shape id="_x0000_i1026" type="#_x0000_t75" style="width:343.5pt;height:313pt" o:ole="">
                  <v:imagedata r:id="rId10" o:title=""/>
                </v:shape>
                <o:OLEObject Type="Embed" ProgID="Visio.Drawing.11" ShapeID="_x0000_i1026" DrawAspect="Content" ObjectID="_1664191698" r:id="rId11"/>
              </w:object>
            </w:r>
          </w:p>
        </w:tc>
      </w:tr>
      <w:tr w:rsidR="0071620D" w:rsidRPr="00184A0B" w:rsidTr="0071620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71620D" w:rsidRPr="0071620D" w:rsidRDefault="00C847A9" w:rsidP="009E168A">
            <w:pPr>
              <w:pStyle w:val="tkNazvanie"/>
              <w:spacing w:before="0" w:after="0" w:line="240" w:lineRule="auto"/>
              <w:ind w:left="0" w:right="-1"/>
              <w:rPr>
                <w:rFonts w:ascii="Times New Roman" w:hAnsi="Times New Roman" w:cs="Times New Roman"/>
                <w:sz w:val="28"/>
                <w:szCs w:val="28"/>
              </w:rPr>
            </w:pPr>
            <w:r>
              <w:object w:dxaOrig="11642" w:dyaOrig="16367">
                <v:shape id="_x0000_i1027" type="#_x0000_t75" style="width:337.5pt;height:474.5pt" o:ole="">
                  <v:imagedata r:id="rId12" o:title=""/>
                </v:shape>
                <o:OLEObject Type="Embed" ProgID="Visio.Drawing.11" ShapeID="_x0000_i1027" DrawAspect="Content" ObjectID="_1664191699" r:id="rId13"/>
              </w:object>
            </w:r>
          </w:p>
        </w:tc>
        <w:tc>
          <w:tcPr>
            <w:tcW w:w="7088" w:type="dxa"/>
            <w:tcBorders>
              <w:top w:val="single" w:sz="4" w:space="0" w:color="auto"/>
              <w:left w:val="single" w:sz="4" w:space="0" w:color="auto"/>
              <w:bottom w:val="single" w:sz="4" w:space="0" w:color="auto"/>
              <w:right w:val="single" w:sz="4" w:space="0" w:color="auto"/>
            </w:tcBorders>
          </w:tcPr>
          <w:p w:rsidR="0071620D" w:rsidRPr="0071620D" w:rsidRDefault="00D74DB6" w:rsidP="009E168A">
            <w:pPr>
              <w:pStyle w:val="tkNazvanie"/>
              <w:spacing w:before="0" w:after="0" w:line="240" w:lineRule="auto"/>
              <w:ind w:left="0" w:right="-1"/>
              <w:rPr>
                <w:rFonts w:ascii="Times New Roman" w:hAnsi="Times New Roman" w:cs="Times New Roman"/>
                <w:sz w:val="28"/>
                <w:szCs w:val="28"/>
              </w:rPr>
            </w:pPr>
            <w:r>
              <w:object w:dxaOrig="12125" w:dyaOrig="16435">
                <v:shape id="_x0000_i1028" type="#_x0000_t75" style="width:343.5pt;height:465pt" o:ole="">
                  <v:imagedata r:id="rId14" o:title=""/>
                </v:shape>
                <o:OLEObject Type="Embed" ProgID="Visio.Drawing.11" ShapeID="_x0000_i1028" DrawAspect="Content" ObjectID="_1664191700" r:id="rId15"/>
              </w:object>
            </w:r>
          </w:p>
        </w:tc>
      </w:tr>
      <w:tr w:rsidR="0071620D" w:rsidRPr="00184A0B" w:rsidTr="0071620D">
        <w:trPr>
          <w:trHeight w:val="491"/>
        </w:trPr>
        <w:tc>
          <w:tcPr>
            <w:tcW w:w="14709" w:type="dxa"/>
            <w:gridSpan w:val="3"/>
            <w:tcBorders>
              <w:top w:val="single" w:sz="4" w:space="0" w:color="auto"/>
              <w:left w:val="single" w:sz="4" w:space="0" w:color="auto"/>
              <w:bottom w:val="single" w:sz="4" w:space="0" w:color="auto"/>
              <w:right w:val="single" w:sz="4" w:space="0" w:color="auto"/>
            </w:tcBorders>
          </w:tcPr>
          <w:p w:rsidR="0071620D" w:rsidRPr="0071620D" w:rsidRDefault="0071620D" w:rsidP="0071620D">
            <w:pPr>
              <w:pStyle w:val="tkNazvanie"/>
              <w:spacing w:before="0" w:after="0" w:line="240" w:lineRule="auto"/>
              <w:ind w:left="0" w:right="-1"/>
              <w:rPr>
                <w:rFonts w:ascii="Times New Roman" w:hAnsi="Times New Roman" w:cs="Times New Roman"/>
                <w:b w:val="0"/>
                <w:sz w:val="28"/>
                <w:szCs w:val="28"/>
              </w:rPr>
            </w:pPr>
            <w:r w:rsidRPr="0071620D">
              <w:rPr>
                <w:rFonts w:ascii="Times New Roman" w:hAnsi="Times New Roman" w:cs="Times New Roman"/>
                <w:b w:val="0"/>
                <w:sz w:val="28"/>
                <w:szCs w:val="28"/>
              </w:rPr>
              <w:lastRenderedPageBreak/>
              <w:t>Порядок заполнения и представления формы отчета по косвенным налогам</w:t>
            </w:r>
          </w:p>
        </w:tc>
      </w:tr>
      <w:tr w:rsidR="0071620D" w:rsidRPr="00184A0B" w:rsidTr="007B1DB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BC76A8" w:rsidRPr="00BC76A8" w:rsidRDefault="00BC76A8" w:rsidP="00BC76A8">
            <w:pPr>
              <w:ind w:firstLine="567"/>
              <w:jc w:val="both"/>
              <w:rPr>
                <w:rFonts w:eastAsia="Times New Roman"/>
                <w:b/>
                <w:sz w:val="28"/>
                <w:szCs w:val="28"/>
              </w:rPr>
            </w:pPr>
            <w:r w:rsidRPr="00BC76A8">
              <w:rPr>
                <w:rFonts w:eastAsia="Times New Roman"/>
                <w:b/>
                <w:sz w:val="28"/>
                <w:szCs w:val="28"/>
              </w:rPr>
              <w:t xml:space="preserve">70. В ячейке 403 указывается итоговая сумма начисления акцизного налога на масла и газовый конденсат, исчисленная согласно </w:t>
            </w:r>
            <w:hyperlink r:id="rId16" w:anchor="st_37" w:history="1">
              <w:r w:rsidRPr="00BC76A8">
                <w:rPr>
                  <w:rFonts w:eastAsia="Times New Roman"/>
                  <w:b/>
                  <w:sz w:val="28"/>
                  <w:szCs w:val="28"/>
                </w:rPr>
                <w:t>статье 37</w:t>
              </w:r>
            </w:hyperlink>
            <w:r w:rsidRPr="00BC76A8">
              <w:rPr>
                <w:rFonts w:eastAsia="Times New Roman"/>
                <w:b/>
                <w:sz w:val="28"/>
                <w:szCs w:val="28"/>
              </w:rPr>
              <w:t xml:space="preserve"> Налогового кодекса Кыргызской Республики. При отражении данных в графе "Облагаемый объем" масла и газового конденсата следует указывать в тоннах.</w:t>
            </w:r>
          </w:p>
          <w:p w:rsidR="00BC76A8" w:rsidRP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r w:rsidRPr="00BC76A8">
              <w:rPr>
                <w:rFonts w:eastAsia="Times New Roman"/>
                <w:b/>
                <w:sz w:val="28"/>
                <w:szCs w:val="28"/>
              </w:rPr>
              <w:t xml:space="preserve">71. В ячейке 404 указывается итоговая сумма начисления акцизного налога на бензин, легкие и средние дистилляты и прочие бензины, исчисленная согласно </w:t>
            </w:r>
            <w:hyperlink r:id="rId17" w:anchor="st_37" w:history="1">
              <w:r w:rsidRPr="00BC76A8">
                <w:rPr>
                  <w:rFonts w:eastAsia="Times New Roman"/>
                  <w:b/>
                  <w:sz w:val="28"/>
                  <w:szCs w:val="28"/>
                </w:rPr>
                <w:t>статье 37</w:t>
              </w:r>
            </w:hyperlink>
            <w:r w:rsidRPr="00BC76A8">
              <w:rPr>
                <w:rFonts w:eastAsia="Times New Roman"/>
                <w:b/>
                <w:sz w:val="28"/>
                <w:szCs w:val="28"/>
              </w:rPr>
              <w:t xml:space="preserve"> Налогового кодекса Кыргызской Республики. При отражении данных в графе "количество продукции" объем бензина, легких и средних дистиллятов и прочих бензинов, следует указывать в тоннах.</w:t>
            </w: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r w:rsidRPr="00BC76A8">
              <w:rPr>
                <w:rFonts w:eastAsia="Times New Roman"/>
                <w:b/>
                <w:sz w:val="28"/>
                <w:szCs w:val="28"/>
              </w:rPr>
              <w:lastRenderedPageBreak/>
              <w:t xml:space="preserve">72. В ячейке 405 указывается итоговая сумма начисления акцизного налога на дизельное топливо, исчисленная согласно </w:t>
            </w:r>
            <w:hyperlink r:id="rId18" w:anchor="st_37" w:history="1">
              <w:r w:rsidRPr="00BC76A8">
                <w:rPr>
                  <w:rFonts w:eastAsia="Times New Roman"/>
                  <w:b/>
                  <w:sz w:val="28"/>
                  <w:szCs w:val="28"/>
                </w:rPr>
                <w:t>статье 37</w:t>
              </w:r>
            </w:hyperlink>
            <w:r w:rsidRPr="00BC76A8">
              <w:rPr>
                <w:rFonts w:eastAsia="Times New Roman"/>
                <w:b/>
                <w:sz w:val="28"/>
                <w:szCs w:val="28"/>
              </w:rPr>
              <w:t xml:space="preserve"> Налогового кодекса Кыргызской Республики. При отражении данных в графе "облагаемый объем" количество дизельного топлива следует указывать в тоннах.</w:t>
            </w:r>
          </w:p>
          <w:p w:rsid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r w:rsidRPr="00BC76A8">
              <w:rPr>
                <w:rFonts w:eastAsia="Times New Roman"/>
                <w:b/>
                <w:sz w:val="28"/>
                <w:szCs w:val="28"/>
              </w:rPr>
              <w:t xml:space="preserve">73. В строке 406 указывается итоговая сумма начисления акцизного налога на топливо реактивное, исчисленная согласно </w:t>
            </w:r>
            <w:hyperlink r:id="rId19" w:anchor="st_37" w:history="1">
              <w:r w:rsidRPr="00BC76A8">
                <w:rPr>
                  <w:rFonts w:eastAsia="Times New Roman"/>
                  <w:b/>
                  <w:sz w:val="28"/>
                  <w:szCs w:val="28"/>
                </w:rPr>
                <w:t>статье 37</w:t>
              </w:r>
            </w:hyperlink>
            <w:r w:rsidRPr="00BC76A8">
              <w:rPr>
                <w:rFonts w:eastAsia="Times New Roman"/>
                <w:b/>
                <w:sz w:val="28"/>
                <w:szCs w:val="28"/>
              </w:rPr>
              <w:t xml:space="preserve"> Налогового кодекса Кыргызской Республики. При отражении данных в графе "облагаемый объем" количество топлива реактивного следует указывать в тоннах.</w:t>
            </w: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r w:rsidRPr="00BC76A8">
              <w:rPr>
                <w:rFonts w:eastAsia="Times New Roman"/>
                <w:b/>
                <w:sz w:val="28"/>
                <w:szCs w:val="28"/>
              </w:rPr>
              <w:t xml:space="preserve">74. В строке 407 указывается итоговая сумма начисления акцизного налога на мазут, исчисленная согласно </w:t>
            </w:r>
            <w:hyperlink r:id="rId20" w:anchor="st_37" w:history="1">
              <w:r w:rsidRPr="00BC76A8">
                <w:rPr>
                  <w:rFonts w:eastAsia="Times New Roman"/>
                  <w:b/>
                  <w:sz w:val="28"/>
                  <w:szCs w:val="28"/>
                </w:rPr>
                <w:t>статье 37</w:t>
              </w:r>
            </w:hyperlink>
            <w:r w:rsidRPr="00BC76A8">
              <w:rPr>
                <w:rFonts w:eastAsia="Times New Roman"/>
                <w:b/>
                <w:sz w:val="28"/>
                <w:szCs w:val="28"/>
              </w:rPr>
              <w:t xml:space="preserve"> Налогового кодекса Кыргызской Республики. При отражении данных в графе "облагаемый объем" объем ввезенного мазута следует указывать в тоннах.</w:t>
            </w: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r w:rsidRPr="00BC76A8">
              <w:rPr>
                <w:rFonts w:eastAsia="Times New Roman"/>
                <w:b/>
                <w:sz w:val="28"/>
                <w:szCs w:val="28"/>
              </w:rPr>
              <w:t xml:space="preserve">74-1. В строке 408 указывается итоговая сумма начисления акцизного налога на нефть сырую и нефтепродукты сырые, полученные из битуминозных </w:t>
            </w:r>
            <w:r w:rsidRPr="00BC76A8">
              <w:rPr>
                <w:rFonts w:eastAsia="Times New Roman"/>
                <w:b/>
                <w:sz w:val="28"/>
                <w:szCs w:val="28"/>
              </w:rPr>
              <w:lastRenderedPageBreak/>
              <w:t xml:space="preserve">материалов, исчисленная согласно </w:t>
            </w:r>
            <w:hyperlink r:id="rId21" w:anchor="st_37" w:history="1">
              <w:r w:rsidRPr="00BC76A8">
                <w:rPr>
                  <w:rFonts w:eastAsia="Times New Roman"/>
                  <w:b/>
                  <w:sz w:val="28"/>
                  <w:szCs w:val="28"/>
                </w:rPr>
                <w:t>статье 37</w:t>
              </w:r>
            </w:hyperlink>
            <w:r w:rsidRPr="00BC76A8">
              <w:rPr>
                <w:rFonts w:eastAsia="Times New Roman"/>
                <w:b/>
                <w:sz w:val="28"/>
                <w:szCs w:val="28"/>
              </w:rPr>
              <w:t xml:space="preserve"> Налогового кодекса Кыргызской Республики. При отражении данных в графе "облагаемый объем" объем нефти сырой и нефтепродуктов сырых, полученных из битуминозных материалов, следует указывать в тоннах/</w:t>
            </w: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p>
          <w:p w:rsidR="00BC76A8" w:rsidRPr="00BC76A8" w:rsidRDefault="00BC76A8" w:rsidP="00BC76A8">
            <w:pPr>
              <w:ind w:firstLine="567"/>
              <w:jc w:val="both"/>
              <w:rPr>
                <w:rFonts w:eastAsia="Times New Roman"/>
                <w:b/>
                <w:sz w:val="28"/>
                <w:szCs w:val="28"/>
              </w:rPr>
            </w:pPr>
            <w:r w:rsidRPr="00BC76A8">
              <w:rPr>
                <w:rFonts w:eastAsia="Times New Roman"/>
                <w:b/>
                <w:sz w:val="28"/>
                <w:szCs w:val="28"/>
              </w:rPr>
              <w:t>75. В строке 409 указывается суммарный итог начисления акцизного налога, указанного в строках 401-408. Итоговые значения графы "облагаемый объем" указываются в соответствии с единицами измерения (тыс. штук, штуки, кг, литры, тонны, миллилитры).</w:t>
            </w:r>
          </w:p>
          <w:p w:rsidR="00BC76A8" w:rsidRDefault="00BC76A8" w:rsidP="00BC76A8">
            <w:pPr>
              <w:ind w:firstLine="567"/>
              <w:jc w:val="both"/>
              <w:rPr>
                <w:rFonts w:eastAsia="Times New Roman"/>
                <w:sz w:val="28"/>
                <w:szCs w:val="28"/>
              </w:rPr>
            </w:pPr>
            <w:r w:rsidRPr="00BC76A8">
              <w:rPr>
                <w:rFonts w:eastAsia="Times New Roman"/>
                <w:sz w:val="28"/>
                <w:szCs w:val="28"/>
              </w:rPr>
              <w:t xml:space="preserve">76. Заполнение ячеек </w:t>
            </w:r>
            <w:r w:rsidRPr="00BC76A8">
              <w:rPr>
                <w:rFonts w:eastAsia="Times New Roman"/>
                <w:b/>
                <w:sz w:val="28"/>
                <w:szCs w:val="28"/>
              </w:rPr>
              <w:t>410-412</w:t>
            </w:r>
            <w:r w:rsidRPr="00BC76A8">
              <w:rPr>
                <w:rFonts w:eastAsia="Times New Roman"/>
                <w:sz w:val="28"/>
                <w:szCs w:val="28"/>
              </w:rPr>
              <w:t xml:space="preserve"> раздела II "Депозит" осуществляется субъектом, осуществившим импорт сырья для производства подакцизных товаров на давальческой основе, с последующим экспортом подакцизной продукции за пределы Кыргызской Республики, в случаях, когда налогоплательщик, осуществляющий производство подакцизных товаров на давальческой основе, освобожден от уплаты акцизного налога.</w:t>
            </w:r>
          </w:p>
          <w:p w:rsidR="00BC76A8" w:rsidRPr="00BC76A8" w:rsidRDefault="00BC76A8" w:rsidP="00BC76A8">
            <w:pPr>
              <w:ind w:firstLine="567"/>
              <w:jc w:val="both"/>
              <w:rPr>
                <w:rFonts w:eastAsia="Times New Roman"/>
                <w:sz w:val="28"/>
                <w:szCs w:val="28"/>
              </w:rPr>
            </w:pPr>
          </w:p>
          <w:p w:rsidR="00BC76A8" w:rsidRPr="00BC76A8" w:rsidRDefault="00BC76A8" w:rsidP="00BC76A8">
            <w:pPr>
              <w:ind w:firstLine="567"/>
              <w:jc w:val="both"/>
              <w:rPr>
                <w:rFonts w:eastAsia="Times New Roman"/>
                <w:sz w:val="28"/>
                <w:szCs w:val="28"/>
              </w:rPr>
            </w:pPr>
            <w:r w:rsidRPr="00BC76A8">
              <w:rPr>
                <w:rFonts w:eastAsia="Times New Roman"/>
                <w:sz w:val="28"/>
                <w:szCs w:val="28"/>
              </w:rPr>
              <w:t xml:space="preserve">Примечание. В соответствии с нормами </w:t>
            </w:r>
            <w:hyperlink r:id="rId22" w:anchor="st_283" w:history="1">
              <w:r w:rsidRPr="00BC76A8">
                <w:rPr>
                  <w:rFonts w:eastAsia="Times New Roman"/>
                  <w:sz w:val="28"/>
                  <w:szCs w:val="28"/>
                </w:rPr>
                <w:t>статьи 283</w:t>
              </w:r>
            </w:hyperlink>
            <w:r w:rsidRPr="00BC76A8">
              <w:rPr>
                <w:rFonts w:eastAsia="Times New Roman"/>
                <w:sz w:val="28"/>
                <w:szCs w:val="28"/>
              </w:rPr>
              <w:t xml:space="preserve"> Налогового кодекса Кыргызской Республики </w:t>
            </w:r>
            <w:r w:rsidRPr="00BC76A8">
              <w:rPr>
                <w:rFonts w:eastAsia="Times New Roman"/>
                <w:sz w:val="28"/>
                <w:szCs w:val="28"/>
              </w:rPr>
              <w:lastRenderedPageBreak/>
              <w:t>налогоплательщиком акцизного налога является субъект, который производит, в том числе на давальческой основе, подакцизные товары на территории Кыргызской Республики и/или импортирует подакцизные товары на территорию Кыргызской Республики.</w:t>
            </w:r>
          </w:p>
          <w:p w:rsidR="00BC76A8" w:rsidRDefault="00BC76A8" w:rsidP="00BC76A8">
            <w:pPr>
              <w:ind w:firstLine="567"/>
              <w:jc w:val="both"/>
              <w:rPr>
                <w:rFonts w:eastAsia="Times New Roman"/>
                <w:sz w:val="28"/>
                <w:szCs w:val="28"/>
              </w:rPr>
            </w:pPr>
            <w:r w:rsidRPr="00BC76A8">
              <w:rPr>
                <w:rFonts w:eastAsia="Times New Roman"/>
                <w:sz w:val="28"/>
                <w:szCs w:val="28"/>
              </w:rPr>
              <w:t>В случае освобождения субъектов от уплаты акцизного налога в части производства подакцизных товаров на давальческой основе налогоплательщиком акцизного налога является владелец давальческого сырья.</w:t>
            </w:r>
          </w:p>
          <w:p w:rsidR="00BC76A8" w:rsidRDefault="00BC76A8" w:rsidP="00BC76A8">
            <w:pPr>
              <w:ind w:firstLine="567"/>
              <w:jc w:val="both"/>
              <w:rPr>
                <w:rFonts w:eastAsia="Times New Roman"/>
                <w:sz w:val="28"/>
                <w:szCs w:val="28"/>
              </w:rPr>
            </w:pPr>
          </w:p>
          <w:p w:rsidR="00BC76A8" w:rsidRPr="00BC76A8" w:rsidRDefault="00BC76A8" w:rsidP="00BC76A8">
            <w:pPr>
              <w:ind w:firstLine="567"/>
              <w:jc w:val="both"/>
              <w:rPr>
                <w:rFonts w:eastAsia="Times New Roman"/>
                <w:sz w:val="28"/>
                <w:szCs w:val="28"/>
              </w:rPr>
            </w:pPr>
          </w:p>
          <w:p w:rsidR="00BC76A8" w:rsidRPr="00BC76A8" w:rsidRDefault="00BC76A8" w:rsidP="00BC76A8">
            <w:pPr>
              <w:ind w:firstLine="567"/>
              <w:jc w:val="both"/>
              <w:rPr>
                <w:rFonts w:eastAsia="Times New Roman"/>
                <w:sz w:val="28"/>
                <w:szCs w:val="28"/>
              </w:rPr>
            </w:pPr>
            <w:r w:rsidRPr="00BC76A8">
              <w:rPr>
                <w:rFonts w:eastAsia="Times New Roman"/>
                <w:sz w:val="28"/>
                <w:szCs w:val="28"/>
              </w:rPr>
              <w:t xml:space="preserve">77. При заполнении ячеек </w:t>
            </w:r>
            <w:r w:rsidRPr="00BC76A8">
              <w:rPr>
                <w:rFonts w:eastAsia="Times New Roman"/>
                <w:b/>
                <w:sz w:val="28"/>
                <w:szCs w:val="28"/>
              </w:rPr>
              <w:t>410-412</w:t>
            </w:r>
            <w:r w:rsidRPr="00BC76A8">
              <w:rPr>
                <w:rFonts w:eastAsia="Times New Roman"/>
                <w:sz w:val="28"/>
                <w:szCs w:val="28"/>
              </w:rPr>
              <w:t xml:space="preserve"> следует указывать данные за отчетный месяц. В ячейке </w:t>
            </w:r>
            <w:r w:rsidRPr="00BC76A8">
              <w:rPr>
                <w:rFonts w:eastAsia="Times New Roman"/>
                <w:b/>
                <w:sz w:val="28"/>
                <w:szCs w:val="28"/>
              </w:rPr>
              <w:t>410</w:t>
            </w:r>
            <w:r w:rsidRPr="00BC76A8">
              <w:rPr>
                <w:rFonts w:eastAsia="Times New Roman"/>
                <w:sz w:val="28"/>
                <w:szCs w:val="28"/>
              </w:rPr>
              <w:t xml:space="preserve"> отражаются суммы акцизного налога, внесенные на депозитный счет в течение отчетного периода. В ячейке </w:t>
            </w:r>
            <w:r w:rsidRPr="00BC76A8">
              <w:rPr>
                <w:rFonts w:eastAsia="Times New Roman"/>
                <w:b/>
                <w:sz w:val="28"/>
                <w:szCs w:val="28"/>
              </w:rPr>
              <w:t>411</w:t>
            </w:r>
            <w:r w:rsidRPr="00BC76A8">
              <w:rPr>
                <w:rFonts w:eastAsia="Times New Roman"/>
                <w:sz w:val="28"/>
                <w:szCs w:val="28"/>
              </w:rPr>
              <w:t xml:space="preserve"> указываются суммы акциза, ранее внесенные на депозитный счет и по которым истек срок представления соответствующих документов, подтверждающих экспорт подакцизной продукции, и документы, подтверждающие экспорт не представлены. В ячейке </w:t>
            </w:r>
            <w:r w:rsidRPr="00BC76A8">
              <w:rPr>
                <w:rFonts w:eastAsia="Times New Roman"/>
                <w:b/>
                <w:sz w:val="28"/>
                <w:szCs w:val="28"/>
              </w:rPr>
              <w:t>412</w:t>
            </w:r>
            <w:r w:rsidRPr="00BC76A8">
              <w:rPr>
                <w:rFonts w:eastAsia="Times New Roman"/>
                <w:sz w:val="28"/>
                <w:szCs w:val="28"/>
              </w:rPr>
              <w:t xml:space="preserve"> указываются суммы акциза, по которым в отчетном периоде представлены соответствующие документы, подтверждающие экспорт подакцизной продукции.</w:t>
            </w:r>
          </w:p>
          <w:p w:rsidR="0071620D" w:rsidRDefault="00BC76A8" w:rsidP="00BC76A8">
            <w:pPr>
              <w:ind w:firstLine="567"/>
              <w:jc w:val="both"/>
              <w:rPr>
                <w:rFonts w:eastAsia="Times New Roman"/>
                <w:sz w:val="28"/>
                <w:szCs w:val="28"/>
              </w:rPr>
            </w:pPr>
            <w:r w:rsidRPr="00BC76A8">
              <w:rPr>
                <w:rFonts w:eastAsia="Times New Roman"/>
                <w:sz w:val="28"/>
                <w:szCs w:val="28"/>
              </w:rPr>
              <w:t>…………</w:t>
            </w:r>
          </w:p>
          <w:p w:rsidR="00BC76A8" w:rsidRDefault="00BC76A8" w:rsidP="00BC76A8">
            <w:pPr>
              <w:ind w:firstLine="567"/>
              <w:jc w:val="both"/>
              <w:rPr>
                <w:rFonts w:eastAsia="Times New Roman"/>
                <w:sz w:val="28"/>
                <w:szCs w:val="28"/>
              </w:rPr>
            </w:pPr>
            <w:r w:rsidRPr="00BC76A8">
              <w:rPr>
                <w:rFonts w:eastAsia="Times New Roman"/>
                <w:sz w:val="28"/>
                <w:szCs w:val="28"/>
              </w:rPr>
              <w:t>91. В графе 3 указывается единица измерения (в 1000 штуках, килограммах, миллилитрах).</w:t>
            </w:r>
          </w:p>
          <w:p w:rsidR="00BC76A8" w:rsidRDefault="00BC76A8" w:rsidP="00BC76A8">
            <w:pPr>
              <w:ind w:firstLine="567"/>
              <w:jc w:val="both"/>
              <w:rPr>
                <w:rFonts w:eastAsia="Times New Roman"/>
                <w:sz w:val="28"/>
                <w:szCs w:val="28"/>
              </w:rPr>
            </w:pPr>
            <w:r>
              <w:rPr>
                <w:rFonts w:eastAsia="Times New Roman"/>
                <w:sz w:val="28"/>
                <w:szCs w:val="28"/>
              </w:rPr>
              <w:t>………………</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xml:space="preserve">121. В графе 5 необходимо указать количество импортированных подакцизных товаров, не подлежащих </w:t>
            </w:r>
            <w:r w:rsidRPr="00BC76A8">
              <w:rPr>
                <w:rFonts w:eastAsia="Times New Roman"/>
                <w:sz w:val="28"/>
                <w:szCs w:val="28"/>
              </w:rPr>
              <w:lastRenderedPageBreak/>
              <w:t>обложению акцизом. При заполнении графы 5 количество подакцизных товаров следует указывать;</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для ГСМ в тоннах;</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для алкогольных и спиртосодержащих напитков в литрах;</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xml:space="preserve">- для сигарет с фильтром или без фильтра, </w:t>
            </w:r>
            <w:proofErr w:type="spellStart"/>
            <w:r w:rsidRPr="00BC76A8">
              <w:rPr>
                <w:rFonts w:eastAsia="Times New Roman"/>
                <w:sz w:val="28"/>
                <w:szCs w:val="28"/>
              </w:rPr>
              <w:t>сигарилл</w:t>
            </w:r>
            <w:proofErr w:type="spellEnd"/>
            <w:r w:rsidRPr="00BC76A8">
              <w:rPr>
                <w:rFonts w:eastAsia="Times New Roman"/>
                <w:sz w:val="28"/>
                <w:szCs w:val="28"/>
              </w:rPr>
              <w:t xml:space="preserve"> в 1000 штук;</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для сигар в штуках;</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для прочих табачных изделий в килограммах.</w:t>
            </w:r>
          </w:p>
        </w:tc>
        <w:tc>
          <w:tcPr>
            <w:tcW w:w="7088" w:type="dxa"/>
            <w:tcBorders>
              <w:top w:val="single" w:sz="4" w:space="0" w:color="auto"/>
              <w:left w:val="single" w:sz="4" w:space="0" w:color="auto"/>
              <w:bottom w:val="single" w:sz="4" w:space="0" w:color="auto"/>
              <w:right w:val="single" w:sz="4" w:space="0" w:color="auto"/>
            </w:tcBorders>
          </w:tcPr>
          <w:p w:rsidR="00BC76A8" w:rsidRPr="00831044" w:rsidRDefault="00BC76A8" w:rsidP="00BC76A8">
            <w:pPr>
              <w:ind w:firstLine="567"/>
              <w:jc w:val="both"/>
              <w:rPr>
                <w:rFonts w:eastAsia="Times New Roman"/>
                <w:sz w:val="28"/>
                <w:szCs w:val="28"/>
              </w:rPr>
            </w:pPr>
            <w:r w:rsidRPr="00831044">
              <w:rPr>
                <w:rFonts w:eastAsia="Times New Roman"/>
                <w:sz w:val="28"/>
                <w:szCs w:val="28"/>
              </w:rPr>
              <w:lastRenderedPageBreak/>
              <w:t>70. В ячейке 403 указывается итоговая сумма начисления акцизного налога на масла и другие продукты высокотемпературной перегонки каменноугольной смолы; аналогичные продукты, в которых масса ароматических составных частей превышает массу неароматических: бензол, для использования в качестве топлива, исчисленная согласно статье 37 Налогового кодекса Кыргызской Республики</w:t>
            </w:r>
            <w:r>
              <w:rPr>
                <w:rFonts w:eastAsia="Times New Roman"/>
                <w:sz w:val="28"/>
                <w:szCs w:val="28"/>
              </w:rPr>
              <w:t>. При отражении данных в графе «</w:t>
            </w:r>
            <w:r w:rsidRPr="00831044">
              <w:rPr>
                <w:rFonts w:eastAsia="Times New Roman"/>
                <w:sz w:val="28"/>
                <w:szCs w:val="28"/>
              </w:rPr>
              <w:t>Облагаемый объем</w:t>
            </w:r>
            <w:r>
              <w:rPr>
                <w:rFonts w:eastAsia="Times New Roman"/>
                <w:sz w:val="28"/>
                <w:szCs w:val="28"/>
              </w:rPr>
              <w:t>»</w:t>
            </w:r>
            <w:r w:rsidRPr="00831044">
              <w:rPr>
                <w:rFonts w:eastAsia="Times New Roman"/>
                <w:sz w:val="28"/>
                <w:szCs w:val="28"/>
              </w:rPr>
              <w:t xml:space="preserve"> следует указывать объем масла и другие продукты высокотемпературной перегонки каменноугольной смолы; аналогичные продукты, в которых масса ароматических составных частей превышает массу неароматических: бензол, для использования в качестве топлива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 xml:space="preserve">71. В ячейке 404 указывается итоговая сумма начисления акцизного налога на газовый конденсат природный: газовый конденсат стабильной плотности при 20 С Не более 650 кг/м3, но не более 850 кг/м3 и с содержанием серы не более 1,0мас% прочий, исчисленная согласно статье 37 Налогового кодекса Кыргызской Республики. При отражении данных в графе </w:t>
            </w:r>
            <w:r>
              <w:rPr>
                <w:rFonts w:eastAsia="Times New Roman"/>
                <w:sz w:val="28"/>
                <w:szCs w:val="28"/>
              </w:rPr>
              <w:t>«О</w:t>
            </w:r>
            <w:r w:rsidRPr="00831044">
              <w:rPr>
                <w:rFonts w:eastAsia="Times New Roman"/>
                <w:sz w:val="28"/>
                <w:szCs w:val="28"/>
              </w:rPr>
              <w:t>благаемый объем</w:t>
            </w:r>
            <w:r>
              <w:rPr>
                <w:rFonts w:eastAsia="Times New Roman"/>
                <w:sz w:val="28"/>
                <w:szCs w:val="28"/>
              </w:rPr>
              <w:t>»</w:t>
            </w:r>
            <w:r w:rsidRPr="00831044">
              <w:rPr>
                <w:rFonts w:eastAsia="Times New Roman"/>
                <w:sz w:val="28"/>
                <w:szCs w:val="28"/>
              </w:rPr>
              <w:t xml:space="preserve"> объем газового конденсата природного: газового конденсата стабильной плотности при 20 С Не более 650 кг/м3, но не более 850 кг/м3 и с содержанием серы не более 1,0мас% прочий,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lastRenderedPageBreak/>
              <w:t>72. В ячейке 405 указывается итоговая сумма начисления акцизного налога на нефть сырую и нефтепродукты сырые, полученные из битуминозных материалов, исчисленная согласно статье 37 Налогового кодекса Кыргызской Республики</w:t>
            </w:r>
            <w:r>
              <w:rPr>
                <w:rFonts w:eastAsia="Times New Roman"/>
                <w:sz w:val="28"/>
                <w:szCs w:val="28"/>
              </w:rPr>
              <w:t>. При отражении данных в графе «О</w:t>
            </w:r>
            <w:r w:rsidRPr="00831044">
              <w:rPr>
                <w:rFonts w:eastAsia="Times New Roman"/>
                <w:sz w:val="28"/>
                <w:szCs w:val="28"/>
              </w:rPr>
              <w:t>благаемый объем</w:t>
            </w:r>
            <w:r>
              <w:rPr>
                <w:rFonts w:eastAsia="Times New Roman"/>
                <w:sz w:val="28"/>
                <w:szCs w:val="28"/>
              </w:rPr>
              <w:t>»</w:t>
            </w:r>
            <w:r w:rsidRPr="00831044">
              <w:rPr>
                <w:rFonts w:eastAsia="Times New Roman"/>
                <w:sz w:val="28"/>
                <w:szCs w:val="28"/>
              </w:rPr>
              <w:t xml:space="preserve"> объем нефти сырой и нефтепродуктов сырых, полученных из битуминозных материалов,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73. В строке 406 указывается итоговая сумма начисления акцизного налога на бензины моторные, специальные, легкие и средние дистилляты; прочие бензины и дистилляты, исчисленная согласно статье 37 Налогового кодекса Кыргызской Республики</w:t>
            </w:r>
            <w:r>
              <w:rPr>
                <w:rFonts w:eastAsia="Times New Roman"/>
                <w:sz w:val="28"/>
                <w:szCs w:val="28"/>
              </w:rPr>
              <w:t>. При отражении данных в графе «Облагаемый объем»</w:t>
            </w:r>
            <w:r w:rsidRPr="00831044">
              <w:rPr>
                <w:rFonts w:eastAsia="Times New Roman"/>
                <w:sz w:val="28"/>
                <w:szCs w:val="28"/>
              </w:rPr>
              <w:t xml:space="preserve"> объем бензинов моторных, специальные, легкие и средние дистилляты; прочие бензины и дистилляты,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74. В строке 407 указывается итоговая сумма начисления акцизного налога на прочие нефтепродукты (</w:t>
            </w:r>
            <w:proofErr w:type="spellStart"/>
            <w:r w:rsidRPr="00831044">
              <w:rPr>
                <w:rFonts w:eastAsia="Times New Roman"/>
                <w:sz w:val="28"/>
                <w:szCs w:val="28"/>
              </w:rPr>
              <w:t>биотопливо</w:t>
            </w:r>
            <w:proofErr w:type="spellEnd"/>
            <w:r w:rsidRPr="00831044">
              <w:rPr>
                <w:rFonts w:eastAsia="Times New Roman"/>
                <w:sz w:val="28"/>
                <w:szCs w:val="28"/>
              </w:rPr>
              <w:t>, топливо экологическое, смесь легких дистиллятов), исчисленная согласно статье 37 Налогового кодекса Кыргызской Республики</w:t>
            </w:r>
            <w:r>
              <w:rPr>
                <w:rFonts w:eastAsia="Times New Roman"/>
                <w:sz w:val="28"/>
                <w:szCs w:val="28"/>
              </w:rPr>
              <w:t>. При отражении данных в графе «О</w:t>
            </w:r>
            <w:r w:rsidRPr="00831044">
              <w:rPr>
                <w:rFonts w:eastAsia="Times New Roman"/>
                <w:sz w:val="28"/>
                <w:szCs w:val="28"/>
              </w:rPr>
              <w:t>благаемый объем</w:t>
            </w:r>
            <w:r>
              <w:rPr>
                <w:rFonts w:eastAsia="Times New Roman"/>
                <w:sz w:val="28"/>
                <w:szCs w:val="28"/>
              </w:rPr>
              <w:t>»</w:t>
            </w:r>
            <w:r w:rsidRPr="00831044">
              <w:rPr>
                <w:rFonts w:eastAsia="Times New Roman"/>
                <w:sz w:val="28"/>
                <w:szCs w:val="28"/>
              </w:rPr>
              <w:t xml:space="preserve"> объем прочих нефтепродуктов (</w:t>
            </w:r>
            <w:proofErr w:type="spellStart"/>
            <w:r w:rsidRPr="00831044">
              <w:rPr>
                <w:rFonts w:eastAsia="Times New Roman"/>
                <w:sz w:val="28"/>
                <w:szCs w:val="28"/>
              </w:rPr>
              <w:t>биотопливо</w:t>
            </w:r>
            <w:proofErr w:type="spellEnd"/>
            <w:r w:rsidRPr="00831044">
              <w:rPr>
                <w:rFonts w:eastAsia="Times New Roman"/>
                <w:sz w:val="28"/>
                <w:szCs w:val="28"/>
              </w:rPr>
              <w:t>, топливо экологическое, смесь легких дистиллятов)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74</w:t>
            </w:r>
            <w:r w:rsidRPr="00831044">
              <w:rPr>
                <w:rFonts w:eastAsia="Times New Roman"/>
                <w:sz w:val="28"/>
                <w:szCs w:val="28"/>
                <w:vertAlign w:val="superscript"/>
              </w:rPr>
              <w:t>1</w:t>
            </w:r>
            <w:r w:rsidRPr="00831044">
              <w:rPr>
                <w:rFonts w:eastAsia="Times New Roman"/>
                <w:sz w:val="28"/>
                <w:szCs w:val="28"/>
              </w:rPr>
              <w:t xml:space="preserve">. В строке 408 указывается итоговая сумма начисления акцизного налога на топливо для  реактивных двигателей, исчисленная согласно статье 37 </w:t>
            </w:r>
            <w:r w:rsidRPr="00831044">
              <w:rPr>
                <w:rFonts w:eastAsia="Times New Roman"/>
                <w:sz w:val="28"/>
                <w:szCs w:val="28"/>
              </w:rPr>
              <w:lastRenderedPageBreak/>
              <w:t>Налогового кодекса Кыргызской Республики. При отражении данн</w:t>
            </w:r>
            <w:r>
              <w:rPr>
                <w:rFonts w:eastAsia="Times New Roman"/>
                <w:sz w:val="28"/>
                <w:szCs w:val="28"/>
              </w:rPr>
              <w:t>ых в графе «Облагаемый объем»</w:t>
            </w:r>
            <w:r w:rsidRPr="00831044">
              <w:rPr>
                <w:rFonts w:eastAsia="Times New Roman"/>
                <w:sz w:val="28"/>
                <w:szCs w:val="28"/>
              </w:rPr>
              <w:t xml:space="preserve"> количество топлива для  реактивных двигателей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74</w:t>
            </w:r>
            <w:r w:rsidRPr="00831044">
              <w:rPr>
                <w:rFonts w:eastAsia="Times New Roman"/>
                <w:sz w:val="28"/>
                <w:szCs w:val="28"/>
                <w:vertAlign w:val="superscript"/>
              </w:rPr>
              <w:t>2</w:t>
            </w:r>
            <w:r w:rsidRPr="00831044">
              <w:rPr>
                <w:rFonts w:eastAsia="Times New Roman"/>
                <w:sz w:val="28"/>
                <w:szCs w:val="28"/>
              </w:rPr>
              <w:t>. В строке 409 указывается итоговая сумма начисления акцизного налога на дизельное топливо, газойли, тяжелые дистилляты, исчисленная согласно статье 37 Налогового кодекса Кыргызской Республики.</w:t>
            </w:r>
            <w:r>
              <w:rPr>
                <w:rFonts w:eastAsia="Times New Roman"/>
                <w:sz w:val="28"/>
                <w:szCs w:val="28"/>
              </w:rPr>
              <w:t xml:space="preserve"> При отражении данных в графе «О</w:t>
            </w:r>
            <w:r w:rsidRPr="00831044">
              <w:rPr>
                <w:rFonts w:eastAsia="Times New Roman"/>
                <w:sz w:val="28"/>
                <w:szCs w:val="28"/>
              </w:rPr>
              <w:t>благаемый объем</w:t>
            </w:r>
            <w:r>
              <w:rPr>
                <w:rFonts w:eastAsia="Times New Roman"/>
                <w:sz w:val="28"/>
                <w:szCs w:val="28"/>
              </w:rPr>
              <w:t>»</w:t>
            </w:r>
            <w:r w:rsidRPr="00831044">
              <w:rPr>
                <w:rFonts w:eastAsia="Times New Roman"/>
                <w:sz w:val="28"/>
                <w:szCs w:val="28"/>
              </w:rPr>
              <w:t xml:space="preserve"> количество дизельного топлива, газойли, тяжелые дистилляты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74</w:t>
            </w:r>
            <w:r w:rsidRPr="00831044">
              <w:rPr>
                <w:rFonts w:eastAsia="Times New Roman"/>
                <w:sz w:val="28"/>
                <w:szCs w:val="28"/>
                <w:vertAlign w:val="superscript"/>
              </w:rPr>
              <w:t>3</w:t>
            </w:r>
            <w:r w:rsidRPr="00831044">
              <w:rPr>
                <w:rFonts w:eastAsia="Times New Roman"/>
                <w:sz w:val="28"/>
                <w:szCs w:val="28"/>
              </w:rPr>
              <w:t xml:space="preserve">. В строке 410 указывается итоговая сумма начисления акцизного налога на мазут, исчисленная согласно статье 37 Налогового кодекса Кыргызской Республики. При отражении данных в графе </w:t>
            </w:r>
            <w:r>
              <w:rPr>
                <w:rFonts w:eastAsia="Times New Roman"/>
                <w:sz w:val="28"/>
                <w:szCs w:val="28"/>
              </w:rPr>
              <w:t>«Облагаемый объем»</w:t>
            </w:r>
            <w:r w:rsidRPr="00831044">
              <w:rPr>
                <w:rFonts w:eastAsia="Times New Roman"/>
                <w:sz w:val="28"/>
                <w:szCs w:val="28"/>
              </w:rPr>
              <w:t xml:space="preserve"> количество мазута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74</w:t>
            </w:r>
            <w:r w:rsidRPr="00831044">
              <w:rPr>
                <w:rFonts w:eastAsia="Times New Roman"/>
                <w:sz w:val="28"/>
                <w:szCs w:val="28"/>
                <w:vertAlign w:val="superscript"/>
              </w:rPr>
              <w:t>4</w:t>
            </w:r>
            <w:r w:rsidRPr="00831044">
              <w:rPr>
                <w:rFonts w:eastAsia="Times New Roman"/>
                <w:sz w:val="28"/>
                <w:szCs w:val="28"/>
              </w:rPr>
              <w:t>. В строке 411 указывается итоговая сумма начисления акцизного налога на масла смазочные, масла прочие исчисленная согласно статье 37 Налогового кодекса Кыргызской Республики.</w:t>
            </w:r>
            <w:r>
              <w:rPr>
                <w:rFonts w:eastAsia="Times New Roman"/>
                <w:sz w:val="28"/>
                <w:szCs w:val="28"/>
              </w:rPr>
              <w:t xml:space="preserve"> При отражении данных в графе «Облагаемый объем»</w:t>
            </w:r>
            <w:r w:rsidRPr="00831044">
              <w:rPr>
                <w:rFonts w:eastAsia="Times New Roman"/>
                <w:sz w:val="28"/>
                <w:szCs w:val="28"/>
              </w:rPr>
              <w:t xml:space="preserve"> количество масел смазочных, масла прочих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74</w:t>
            </w:r>
            <w:r w:rsidRPr="00831044">
              <w:rPr>
                <w:rFonts w:eastAsia="Times New Roman"/>
                <w:sz w:val="28"/>
                <w:szCs w:val="28"/>
                <w:vertAlign w:val="superscript"/>
              </w:rPr>
              <w:t>5</w:t>
            </w:r>
            <w:r w:rsidRPr="00831044">
              <w:rPr>
                <w:rFonts w:eastAsia="Times New Roman"/>
                <w:sz w:val="28"/>
                <w:szCs w:val="28"/>
              </w:rPr>
              <w:t>. В строке 412 указывается итоговая сумма начисления акцизного налога на прочие антидетонаторы на основе соединений свинца, используемым в тех же целях, что и нефтепродукты исчисленная согласно статье 37 Налогового кодекса Кыргызской Республики.</w:t>
            </w:r>
            <w:r>
              <w:rPr>
                <w:rFonts w:eastAsia="Times New Roman"/>
                <w:sz w:val="28"/>
                <w:szCs w:val="28"/>
              </w:rPr>
              <w:t xml:space="preserve"> При отражении данных в графе «Облагаемый объем»</w:t>
            </w:r>
            <w:r w:rsidRPr="00831044">
              <w:rPr>
                <w:rFonts w:eastAsia="Times New Roman"/>
                <w:sz w:val="28"/>
                <w:szCs w:val="28"/>
              </w:rPr>
              <w:t xml:space="preserve"> </w:t>
            </w:r>
            <w:r w:rsidRPr="00831044">
              <w:rPr>
                <w:rFonts w:eastAsia="Times New Roman"/>
                <w:sz w:val="28"/>
                <w:szCs w:val="28"/>
              </w:rPr>
              <w:lastRenderedPageBreak/>
              <w:t>количество прочих антидетонаторов на основе соединений свинца, используемым в тех же целях, что и нефтепродукты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74</w:t>
            </w:r>
            <w:r>
              <w:rPr>
                <w:rFonts w:eastAsia="Times New Roman"/>
                <w:sz w:val="28"/>
                <w:szCs w:val="28"/>
                <w:vertAlign w:val="superscript"/>
              </w:rPr>
              <w:t>6</w:t>
            </w:r>
            <w:r w:rsidRPr="00831044">
              <w:rPr>
                <w:rFonts w:eastAsia="Times New Roman"/>
                <w:sz w:val="28"/>
                <w:szCs w:val="28"/>
              </w:rPr>
              <w:t>. В строке 413 указывается итоговая сумма начисления акцизного налога на присадки к смазочным маслам, содержащие нефть или нефтепродукты, полученные из битуминозных пород исчисленная согласно статье 37 Налогового кодекса Кыргызской Республики</w:t>
            </w:r>
            <w:r>
              <w:rPr>
                <w:rFonts w:eastAsia="Times New Roman"/>
                <w:sz w:val="28"/>
                <w:szCs w:val="28"/>
              </w:rPr>
              <w:t>. При отражении данных в графе «О</w:t>
            </w:r>
            <w:r w:rsidRPr="00831044">
              <w:rPr>
                <w:rFonts w:eastAsia="Times New Roman"/>
                <w:sz w:val="28"/>
                <w:szCs w:val="28"/>
              </w:rPr>
              <w:t>благаемый объем</w:t>
            </w:r>
            <w:r>
              <w:rPr>
                <w:rFonts w:eastAsia="Times New Roman"/>
                <w:sz w:val="28"/>
                <w:szCs w:val="28"/>
              </w:rPr>
              <w:t>»</w:t>
            </w:r>
            <w:r w:rsidRPr="00831044">
              <w:rPr>
                <w:rFonts w:eastAsia="Times New Roman"/>
                <w:sz w:val="28"/>
                <w:szCs w:val="28"/>
              </w:rPr>
              <w:t xml:space="preserve"> количество присадок к смазочным маслам, содержащие нефть или нефтепродукты, полученные из битуминозных пород следует указывать в тоннах.</w:t>
            </w:r>
          </w:p>
          <w:p w:rsidR="00BC76A8" w:rsidRPr="00831044" w:rsidRDefault="00BC76A8" w:rsidP="00BC76A8">
            <w:pPr>
              <w:ind w:firstLine="567"/>
              <w:jc w:val="both"/>
              <w:rPr>
                <w:rFonts w:eastAsia="Times New Roman"/>
                <w:sz w:val="28"/>
                <w:szCs w:val="28"/>
              </w:rPr>
            </w:pPr>
            <w:r w:rsidRPr="00831044">
              <w:rPr>
                <w:rFonts w:eastAsia="Times New Roman"/>
                <w:sz w:val="28"/>
                <w:szCs w:val="28"/>
              </w:rPr>
              <w:t>75. В строке 420 указывается суммарный итог начисления акцизного налога, указанного в строках 401-413</w:t>
            </w:r>
            <w:r>
              <w:rPr>
                <w:rFonts w:eastAsia="Times New Roman"/>
                <w:sz w:val="28"/>
                <w:szCs w:val="28"/>
              </w:rPr>
              <w:t>. Итоговые значения графы «Облагаемый объем»</w:t>
            </w:r>
            <w:r w:rsidRPr="00831044">
              <w:rPr>
                <w:rFonts w:eastAsia="Times New Roman"/>
                <w:sz w:val="28"/>
                <w:szCs w:val="28"/>
              </w:rPr>
              <w:t xml:space="preserve"> указываются в соответствии с единицами измерения (штуки,</w:t>
            </w:r>
            <w:r>
              <w:rPr>
                <w:rFonts w:eastAsia="Times New Roman"/>
                <w:sz w:val="28"/>
                <w:szCs w:val="28"/>
              </w:rPr>
              <w:t xml:space="preserve"> </w:t>
            </w:r>
            <w:r w:rsidRPr="00831044">
              <w:rPr>
                <w:rFonts w:eastAsia="Times New Roman"/>
                <w:sz w:val="28"/>
                <w:szCs w:val="28"/>
              </w:rPr>
              <w:t>тыс. штук, кг, миллилитры</w:t>
            </w:r>
            <w:r>
              <w:rPr>
                <w:rFonts w:eastAsia="Times New Roman"/>
                <w:sz w:val="28"/>
                <w:szCs w:val="28"/>
              </w:rPr>
              <w:t>,</w:t>
            </w:r>
            <w:r w:rsidRPr="00831044">
              <w:rPr>
                <w:rFonts w:eastAsia="Times New Roman"/>
                <w:sz w:val="28"/>
                <w:szCs w:val="28"/>
              </w:rPr>
              <w:t xml:space="preserve"> </w:t>
            </w:r>
            <w:r>
              <w:rPr>
                <w:rFonts w:eastAsia="Times New Roman"/>
                <w:sz w:val="28"/>
                <w:szCs w:val="28"/>
              </w:rPr>
              <w:t>литры, тонны</w:t>
            </w:r>
            <w:r w:rsidRPr="00831044">
              <w:rPr>
                <w:rFonts w:eastAsia="Times New Roman"/>
                <w:sz w:val="28"/>
                <w:szCs w:val="28"/>
              </w:rPr>
              <w:t>).</w:t>
            </w:r>
          </w:p>
          <w:p w:rsidR="00BC76A8" w:rsidRPr="00831044" w:rsidRDefault="00BC76A8" w:rsidP="00BC76A8">
            <w:pPr>
              <w:ind w:firstLine="567"/>
              <w:jc w:val="both"/>
              <w:rPr>
                <w:rFonts w:eastAsia="Times New Roman"/>
                <w:sz w:val="28"/>
                <w:szCs w:val="28"/>
              </w:rPr>
            </w:pPr>
            <w:r w:rsidRPr="00831044">
              <w:rPr>
                <w:rFonts w:eastAsia="Times New Roman"/>
                <w:sz w:val="28"/>
                <w:szCs w:val="28"/>
              </w:rPr>
              <w:t xml:space="preserve">76. Заполнение ячеек 421-423 раздела II </w:t>
            </w:r>
            <w:r>
              <w:rPr>
                <w:rFonts w:eastAsia="Times New Roman"/>
                <w:sz w:val="28"/>
                <w:szCs w:val="28"/>
              </w:rPr>
              <w:t>«Депозит»</w:t>
            </w:r>
            <w:r w:rsidRPr="00831044">
              <w:rPr>
                <w:rFonts w:eastAsia="Times New Roman"/>
                <w:sz w:val="28"/>
                <w:szCs w:val="28"/>
              </w:rPr>
              <w:t xml:space="preserve"> осуществляется субъектом, осуществившим импорт сырья для производства подакцизных товаров на давальческой основе, с последующим экспортом подакцизной продукции за пределы Кыргызской Республики, в случаях, когда налогоплательщик, осуществляющий производство подакцизных товаров на давальческой основе, освобожден от уплаты акцизного налога.</w:t>
            </w:r>
          </w:p>
          <w:p w:rsidR="00BC76A8" w:rsidRPr="00831044" w:rsidRDefault="00BC76A8" w:rsidP="00BC76A8">
            <w:pPr>
              <w:ind w:firstLine="567"/>
              <w:jc w:val="both"/>
              <w:rPr>
                <w:rFonts w:eastAsia="Times New Roman"/>
                <w:sz w:val="28"/>
                <w:szCs w:val="28"/>
              </w:rPr>
            </w:pPr>
            <w:r w:rsidRPr="00831044">
              <w:rPr>
                <w:rFonts w:eastAsia="Times New Roman"/>
                <w:sz w:val="28"/>
                <w:szCs w:val="28"/>
              </w:rPr>
              <w:t xml:space="preserve">Примечание. В соответствии с нормами статьи 283 Налогового кодекса Кыргызской Республики </w:t>
            </w:r>
            <w:r w:rsidRPr="00831044">
              <w:rPr>
                <w:rFonts w:eastAsia="Times New Roman"/>
                <w:sz w:val="28"/>
                <w:szCs w:val="28"/>
              </w:rPr>
              <w:lastRenderedPageBreak/>
              <w:t>налогоплательщиком акцизного налога является субъект, который производит, в том числе на давальческой основе, подакцизные товары на территории Кыргызской Республики и/или импортирует подакцизные товары на территорию Кыргызской Республики.</w:t>
            </w:r>
          </w:p>
          <w:p w:rsidR="00BC76A8" w:rsidRPr="00831044" w:rsidRDefault="00BC76A8" w:rsidP="00BC76A8">
            <w:pPr>
              <w:ind w:firstLine="567"/>
              <w:jc w:val="both"/>
              <w:rPr>
                <w:rFonts w:eastAsia="Times New Roman"/>
                <w:sz w:val="28"/>
                <w:szCs w:val="28"/>
              </w:rPr>
            </w:pPr>
            <w:r w:rsidRPr="00831044">
              <w:rPr>
                <w:rFonts w:eastAsia="Times New Roman"/>
                <w:sz w:val="28"/>
                <w:szCs w:val="28"/>
              </w:rPr>
              <w:t>В случае освобождения субъектов от уплаты акцизного налога в части производства подакцизных товаров на давальческой основе налогоплательщиком акцизного налога является владелец давальческого сырья.</w:t>
            </w:r>
          </w:p>
          <w:p w:rsidR="00BC76A8" w:rsidRDefault="00BC76A8" w:rsidP="00BC76A8">
            <w:pPr>
              <w:ind w:firstLine="567"/>
              <w:jc w:val="both"/>
              <w:rPr>
                <w:rFonts w:eastAsia="Times New Roman"/>
                <w:sz w:val="28"/>
                <w:szCs w:val="28"/>
              </w:rPr>
            </w:pPr>
            <w:r w:rsidRPr="00831044">
              <w:rPr>
                <w:rFonts w:eastAsia="Times New Roman"/>
                <w:sz w:val="28"/>
                <w:szCs w:val="28"/>
              </w:rPr>
              <w:t>77. При заполнении ячеек 421-423 следует указывать данные за отчетный месяц. В ячейке 421 отражаются суммы акцизного налога, внесенные на депозитный счет в течение отчетного периода. В ячейке 422 указываются суммы акциза, ранее внесенные на депозитный счет и по которым истек срок представления соответствующих документов, подтверждающих экспорт подакцизной продукции, и документы, подтверждающие экспорт не представлены. В ячейке 423 указываются суммы акциза, по которым в отчетном периоде представлены соответствующие документы, подтверждающие экспорт подакцизной продукции.</w:t>
            </w:r>
          </w:p>
          <w:p w:rsidR="00BC76A8" w:rsidRDefault="00BC76A8" w:rsidP="00BC76A8">
            <w:pPr>
              <w:ind w:firstLine="567"/>
              <w:jc w:val="both"/>
              <w:rPr>
                <w:rFonts w:eastAsia="Times New Roman"/>
                <w:sz w:val="28"/>
                <w:szCs w:val="28"/>
              </w:rPr>
            </w:pPr>
            <w:r>
              <w:rPr>
                <w:rFonts w:eastAsia="Times New Roman"/>
                <w:sz w:val="28"/>
                <w:szCs w:val="28"/>
              </w:rPr>
              <w:t>………………..</w:t>
            </w:r>
          </w:p>
          <w:p w:rsidR="00BC76A8" w:rsidRDefault="00BC76A8" w:rsidP="00BC76A8">
            <w:pPr>
              <w:ind w:firstLine="567"/>
              <w:jc w:val="both"/>
              <w:rPr>
                <w:rFonts w:eastAsia="Times New Roman"/>
                <w:sz w:val="28"/>
                <w:szCs w:val="28"/>
              </w:rPr>
            </w:pPr>
            <w:r w:rsidRPr="00BC76A8">
              <w:rPr>
                <w:rFonts w:eastAsia="Times New Roman"/>
                <w:sz w:val="28"/>
                <w:szCs w:val="28"/>
              </w:rPr>
              <w:t xml:space="preserve">91. В графе 3 указывается единица измерения (в 1000 штуках, </w:t>
            </w:r>
            <w:r w:rsidRPr="00BC76A8">
              <w:rPr>
                <w:rFonts w:eastAsia="Times New Roman"/>
                <w:b/>
                <w:sz w:val="28"/>
                <w:szCs w:val="28"/>
              </w:rPr>
              <w:t>штуках,</w:t>
            </w:r>
            <w:r>
              <w:rPr>
                <w:rFonts w:eastAsia="Times New Roman"/>
                <w:sz w:val="28"/>
                <w:szCs w:val="28"/>
              </w:rPr>
              <w:t xml:space="preserve"> </w:t>
            </w:r>
            <w:r w:rsidRPr="00BC76A8">
              <w:rPr>
                <w:rFonts w:eastAsia="Times New Roman"/>
                <w:sz w:val="28"/>
                <w:szCs w:val="28"/>
              </w:rPr>
              <w:t>килограммах, миллилитрах).</w:t>
            </w:r>
          </w:p>
          <w:p w:rsidR="00BC76A8" w:rsidRDefault="00BC76A8" w:rsidP="00BC76A8">
            <w:pPr>
              <w:ind w:firstLine="567"/>
              <w:jc w:val="both"/>
              <w:rPr>
                <w:rFonts w:eastAsia="Times New Roman"/>
                <w:sz w:val="28"/>
                <w:szCs w:val="28"/>
              </w:rPr>
            </w:pPr>
            <w:r>
              <w:rPr>
                <w:rFonts w:eastAsia="Times New Roman"/>
                <w:sz w:val="28"/>
                <w:szCs w:val="28"/>
              </w:rPr>
              <w:t>……………..</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xml:space="preserve">121. В графе 5 необходимо указать количество импортированных подакцизных товаров, не подлежащих </w:t>
            </w:r>
            <w:r w:rsidRPr="00BC76A8">
              <w:rPr>
                <w:rFonts w:eastAsia="Times New Roman"/>
                <w:sz w:val="28"/>
                <w:szCs w:val="28"/>
              </w:rPr>
              <w:lastRenderedPageBreak/>
              <w:t>обложению акцизом. При заполнении графы 5 количество подакцизных товаров следует указывать;</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для ГСМ в тоннах;</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для алкогольных и спиртосодержащих напитков в литрах;</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xml:space="preserve">- для сигарет с фильтром или без фильтра, </w:t>
            </w:r>
            <w:proofErr w:type="spellStart"/>
            <w:r w:rsidRPr="00BC76A8">
              <w:rPr>
                <w:rFonts w:eastAsia="Times New Roman"/>
                <w:sz w:val="28"/>
                <w:szCs w:val="28"/>
              </w:rPr>
              <w:t>сигарилл</w:t>
            </w:r>
            <w:proofErr w:type="spellEnd"/>
            <w:r w:rsidRPr="00BC76A8">
              <w:rPr>
                <w:rFonts w:eastAsia="Times New Roman"/>
                <w:sz w:val="28"/>
                <w:szCs w:val="28"/>
              </w:rPr>
              <w:t xml:space="preserve"> в 1000 штук;</w:t>
            </w:r>
          </w:p>
          <w:p w:rsidR="00BC76A8" w:rsidRPr="00BC76A8" w:rsidRDefault="00BC76A8" w:rsidP="00BC76A8">
            <w:pPr>
              <w:ind w:firstLine="567"/>
              <w:jc w:val="both"/>
              <w:rPr>
                <w:rFonts w:eastAsia="Times New Roman"/>
                <w:sz w:val="28"/>
                <w:szCs w:val="28"/>
              </w:rPr>
            </w:pPr>
            <w:r w:rsidRPr="00BC76A8">
              <w:rPr>
                <w:rFonts w:eastAsia="Times New Roman"/>
                <w:sz w:val="28"/>
                <w:szCs w:val="28"/>
              </w:rPr>
              <w:t>- для сигар в штуках;</w:t>
            </w:r>
          </w:p>
          <w:p w:rsidR="0071620D" w:rsidRPr="00BC76A8" w:rsidRDefault="00BC76A8" w:rsidP="00BC76A8">
            <w:pPr>
              <w:ind w:firstLine="567"/>
              <w:jc w:val="both"/>
              <w:rPr>
                <w:rFonts w:eastAsia="Times New Roman"/>
                <w:sz w:val="28"/>
                <w:szCs w:val="28"/>
              </w:rPr>
            </w:pPr>
            <w:r w:rsidRPr="00BC76A8">
              <w:rPr>
                <w:rFonts w:eastAsia="Times New Roman"/>
                <w:sz w:val="28"/>
                <w:szCs w:val="28"/>
              </w:rPr>
              <w:t xml:space="preserve">- для прочих табачных изделий в </w:t>
            </w:r>
            <w:r w:rsidR="00556032" w:rsidRPr="00556032">
              <w:rPr>
                <w:rFonts w:eastAsia="Times New Roman"/>
                <w:b/>
                <w:sz w:val="28"/>
                <w:szCs w:val="28"/>
              </w:rPr>
              <w:t>миллилитрах или</w:t>
            </w:r>
            <w:r w:rsidR="00556032" w:rsidRPr="00556032">
              <w:rPr>
                <w:rFonts w:eastAsia="Times New Roman"/>
                <w:sz w:val="28"/>
                <w:szCs w:val="28"/>
              </w:rPr>
              <w:t xml:space="preserve"> </w:t>
            </w:r>
            <w:r w:rsidRPr="00BC76A8">
              <w:rPr>
                <w:rFonts w:eastAsia="Times New Roman"/>
                <w:sz w:val="28"/>
                <w:szCs w:val="28"/>
              </w:rPr>
              <w:t>килограммах.</w:t>
            </w:r>
          </w:p>
        </w:tc>
      </w:tr>
      <w:tr w:rsidR="00556032" w:rsidRPr="00184A0B" w:rsidTr="00073BD2">
        <w:trPr>
          <w:trHeight w:val="1014"/>
        </w:trPr>
        <w:tc>
          <w:tcPr>
            <w:tcW w:w="14709" w:type="dxa"/>
            <w:gridSpan w:val="3"/>
            <w:tcBorders>
              <w:top w:val="single" w:sz="4" w:space="0" w:color="auto"/>
              <w:left w:val="single" w:sz="4" w:space="0" w:color="auto"/>
              <w:bottom w:val="single" w:sz="4" w:space="0" w:color="auto"/>
              <w:right w:val="single" w:sz="4" w:space="0" w:color="auto"/>
            </w:tcBorders>
          </w:tcPr>
          <w:p w:rsidR="00556032" w:rsidRPr="00D55FE0" w:rsidRDefault="00D55FE0" w:rsidP="00D55FE0">
            <w:pPr>
              <w:pStyle w:val="tkNazvanie"/>
              <w:spacing w:before="0" w:after="0" w:line="240" w:lineRule="auto"/>
              <w:ind w:right="-1"/>
              <w:rPr>
                <w:rFonts w:ascii="Times New Roman" w:hAnsi="Times New Roman" w:cs="Times New Roman"/>
                <w:b w:val="0"/>
                <w:sz w:val="28"/>
                <w:szCs w:val="28"/>
              </w:rPr>
            </w:pPr>
            <w:r w:rsidRPr="00D55FE0">
              <w:rPr>
                <w:rFonts w:ascii="Times New Roman" w:hAnsi="Times New Roman" w:cs="Times New Roman"/>
                <w:b w:val="0"/>
                <w:sz w:val="28"/>
                <w:szCs w:val="28"/>
              </w:rPr>
              <w:lastRenderedPageBreak/>
              <w:t xml:space="preserve">постановление Правительства Кыргызской Республики «Об утверждении форм налоговой отчетности по налогу на добавленную стоимость и акцизному налогу, порядка их заполнения и представления» от 14 июля </w:t>
            </w:r>
            <w:r>
              <w:rPr>
                <w:rFonts w:ascii="Times New Roman" w:hAnsi="Times New Roman" w:cs="Times New Roman"/>
                <w:b w:val="0"/>
                <w:sz w:val="28"/>
                <w:szCs w:val="28"/>
              </w:rPr>
              <w:t>2015 года № 491</w:t>
            </w:r>
          </w:p>
        </w:tc>
      </w:tr>
      <w:tr w:rsidR="00D55FE0" w:rsidRPr="00184A0B" w:rsidTr="00D55FE0">
        <w:trPr>
          <w:trHeight w:val="547"/>
        </w:trPr>
        <w:tc>
          <w:tcPr>
            <w:tcW w:w="14709" w:type="dxa"/>
            <w:gridSpan w:val="3"/>
            <w:tcBorders>
              <w:top w:val="single" w:sz="4" w:space="0" w:color="auto"/>
              <w:left w:val="single" w:sz="4" w:space="0" w:color="auto"/>
              <w:bottom w:val="single" w:sz="4" w:space="0" w:color="auto"/>
              <w:right w:val="single" w:sz="4" w:space="0" w:color="auto"/>
            </w:tcBorders>
          </w:tcPr>
          <w:p w:rsidR="00D55FE0" w:rsidRPr="00D55FE0" w:rsidRDefault="00D55FE0" w:rsidP="00D55FE0">
            <w:pPr>
              <w:pStyle w:val="tkNazvanie"/>
              <w:spacing w:before="0" w:after="0" w:line="240" w:lineRule="auto"/>
              <w:ind w:right="-1"/>
              <w:rPr>
                <w:rFonts w:ascii="Times New Roman" w:hAnsi="Times New Roman" w:cs="Times New Roman"/>
                <w:b w:val="0"/>
                <w:sz w:val="28"/>
                <w:szCs w:val="28"/>
              </w:rPr>
            </w:pPr>
            <w:r w:rsidRPr="00D55FE0">
              <w:rPr>
                <w:rFonts w:ascii="Times New Roman" w:hAnsi="Times New Roman" w:cs="Times New Roman"/>
                <w:b w:val="0"/>
                <w:sz w:val="28"/>
                <w:szCs w:val="28"/>
              </w:rPr>
              <w:t>Поряд</w:t>
            </w:r>
            <w:r>
              <w:rPr>
                <w:rFonts w:ascii="Times New Roman" w:hAnsi="Times New Roman" w:cs="Times New Roman"/>
                <w:b w:val="0"/>
                <w:sz w:val="28"/>
                <w:szCs w:val="28"/>
              </w:rPr>
              <w:t>ок</w:t>
            </w:r>
            <w:r w:rsidRPr="00D55FE0">
              <w:rPr>
                <w:rFonts w:ascii="Times New Roman" w:hAnsi="Times New Roman" w:cs="Times New Roman"/>
                <w:b w:val="0"/>
                <w:sz w:val="28"/>
                <w:szCs w:val="28"/>
              </w:rPr>
              <w:t xml:space="preserve"> заполнения и представления отчета по налогу на добавленную стоимость</w:t>
            </w:r>
          </w:p>
        </w:tc>
      </w:tr>
      <w:tr w:rsidR="0071620D" w:rsidRPr="00184A0B" w:rsidTr="007B1DB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D55FE0" w:rsidRPr="00D55FE0" w:rsidRDefault="00D55FE0" w:rsidP="00D55FE0">
            <w:pPr>
              <w:ind w:firstLine="567"/>
              <w:jc w:val="both"/>
              <w:rPr>
                <w:rFonts w:eastAsia="Times New Roman"/>
                <w:sz w:val="28"/>
                <w:szCs w:val="28"/>
              </w:rPr>
            </w:pPr>
            <w:r w:rsidRPr="00D55FE0">
              <w:rPr>
                <w:rFonts w:eastAsia="Times New Roman"/>
                <w:sz w:val="28"/>
                <w:szCs w:val="28"/>
              </w:rPr>
              <w:t>45. В разделе "Информация по поставкам" Реестра указываются:</w:t>
            </w:r>
          </w:p>
          <w:p w:rsidR="00D55FE0" w:rsidRPr="00D55FE0" w:rsidRDefault="00D55FE0" w:rsidP="00D55FE0">
            <w:pPr>
              <w:ind w:firstLine="567"/>
              <w:jc w:val="both"/>
              <w:rPr>
                <w:rFonts w:eastAsia="Times New Roman"/>
                <w:sz w:val="28"/>
                <w:szCs w:val="28"/>
              </w:rPr>
            </w:pPr>
            <w:r w:rsidRPr="00D55FE0">
              <w:rPr>
                <w:rFonts w:eastAsia="Times New Roman"/>
                <w:sz w:val="28"/>
                <w:szCs w:val="28"/>
              </w:rPr>
              <w:t>…………………..</w:t>
            </w:r>
          </w:p>
          <w:p w:rsidR="00D55FE0" w:rsidRPr="00D55FE0" w:rsidRDefault="00D55FE0" w:rsidP="00D55FE0">
            <w:pPr>
              <w:ind w:firstLine="567"/>
              <w:jc w:val="both"/>
              <w:rPr>
                <w:rFonts w:eastAsia="Times New Roman"/>
                <w:sz w:val="28"/>
                <w:szCs w:val="28"/>
              </w:rPr>
            </w:pPr>
            <w:r w:rsidRPr="00D55FE0">
              <w:rPr>
                <w:rFonts w:eastAsia="Times New Roman"/>
                <w:sz w:val="28"/>
                <w:szCs w:val="28"/>
              </w:rPr>
              <w:t>4) в графе 4 "код поставки" - код поставки, состоящий из трехзначного числа.</w:t>
            </w:r>
          </w:p>
          <w:p w:rsidR="0071620D" w:rsidRPr="00D55FE0" w:rsidRDefault="00D55FE0" w:rsidP="00D55FE0">
            <w:pPr>
              <w:ind w:firstLine="567"/>
              <w:jc w:val="both"/>
              <w:rPr>
                <w:rFonts w:eastAsia="Times New Roman"/>
                <w:sz w:val="28"/>
                <w:szCs w:val="28"/>
              </w:rPr>
            </w:pPr>
            <w:r w:rsidRPr="00D55FE0">
              <w:rPr>
                <w:rFonts w:eastAsia="Times New Roman"/>
                <w:sz w:val="28"/>
                <w:szCs w:val="28"/>
              </w:rPr>
              <w:t>При заполнении графы 4 "Код поставки" применяется нижеследующая кодировка поставок:</w:t>
            </w:r>
          </w:p>
          <w:p w:rsidR="00D55FE0" w:rsidRPr="00D55FE0" w:rsidRDefault="00D55FE0" w:rsidP="00D55FE0">
            <w:pPr>
              <w:spacing w:after="120" w:line="276" w:lineRule="auto"/>
              <w:ind w:firstLine="567"/>
              <w:jc w:val="both"/>
              <w:rPr>
                <w:rFonts w:ascii="Arial" w:eastAsia="Times New Roman" w:hAnsi="Arial" w:cs="Arial"/>
                <w:sz w:val="20"/>
                <w:szCs w:val="20"/>
              </w:rPr>
            </w:pPr>
            <w:r>
              <w:rPr>
                <w:rFonts w:ascii="Arial" w:eastAsia="Times New Roman" w:hAnsi="Arial" w:cs="Arial"/>
                <w:sz w:val="20"/>
                <w:szCs w:val="20"/>
              </w:rPr>
              <w:t>……………………..</w:t>
            </w:r>
          </w:p>
        </w:tc>
        <w:tc>
          <w:tcPr>
            <w:tcW w:w="7088" w:type="dxa"/>
            <w:tcBorders>
              <w:top w:val="single" w:sz="4" w:space="0" w:color="auto"/>
              <w:left w:val="single" w:sz="4" w:space="0" w:color="auto"/>
              <w:bottom w:val="single" w:sz="4" w:space="0" w:color="auto"/>
              <w:right w:val="single" w:sz="4" w:space="0" w:color="auto"/>
            </w:tcBorders>
          </w:tcPr>
          <w:p w:rsidR="00D55FE0" w:rsidRPr="00D55FE0" w:rsidRDefault="00D55FE0" w:rsidP="00D55FE0">
            <w:pPr>
              <w:ind w:firstLine="567"/>
              <w:jc w:val="both"/>
              <w:rPr>
                <w:rFonts w:eastAsia="Times New Roman"/>
                <w:sz w:val="28"/>
                <w:szCs w:val="28"/>
              </w:rPr>
            </w:pPr>
            <w:r w:rsidRPr="00D55FE0">
              <w:rPr>
                <w:rFonts w:eastAsia="Times New Roman"/>
                <w:sz w:val="28"/>
                <w:szCs w:val="28"/>
              </w:rPr>
              <w:t>45. В разделе "Информация по поставкам" Реестра указываются:</w:t>
            </w:r>
          </w:p>
          <w:p w:rsidR="00D55FE0" w:rsidRPr="00D55FE0" w:rsidRDefault="00D55FE0" w:rsidP="00D55FE0">
            <w:pPr>
              <w:ind w:firstLine="567"/>
              <w:jc w:val="both"/>
              <w:rPr>
                <w:rFonts w:eastAsia="Times New Roman"/>
                <w:sz w:val="28"/>
                <w:szCs w:val="28"/>
              </w:rPr>
            </w:pPr>
            <w:r w:rsidRPr="00D55FE0">
              <w:rPr>
                <w:rFonts w:eastAsia="Times New Roman"/>
                <w:sz w:val="28"/>
                <w:szCs w:val="28"/>
              </w:rPr>
              <w:t>…………………..</w:t>
            </w:r>
          </w:p>
          <w:p w:rsidR="00D55FE0" w:rsidRPr="00D55FE0" w:rsidRDefault="00D55FE0" w:rsidP="00D55FE0">
            <w:pPr>
              <w:ind w:firstLine="567"/>
              <w:jc w:val="both"/>
              <w:rPr>
                <w:rFonts w:eastAsia="Times New Roman"/>
                <w:sz w:val="28"/>
                <w:szCs w:val="28"/>
              </w:rPr>
            </w:pPr>
            <w:r w:rsidRPr="00D55FE0">
              <w:rPr>
                <w:rFonts w:eastAsia="Times New Roman"/>
                <w:sz w:val="28"/>
                <w:szCs w:val="28"/>
              </w:rPr>
              <w:t>4) в графе 4 "код поставки" - код поставки, состоящий из трехзначного числа.</w:t>
            </w:r>
          </w:p>
          <w:p w:rsidR="00D55FE0" w:rsidRPr="00D55FE0" w:rsidRDefault="00D55FE0" w:rsidP="00D55FE0">
            <w:pPr>
              <w:ind w:firstLine="567"/>
              <w:jc w:val="both"/>
              <w:rPr>
                <w:rFonts w:eastAsia="Times New Roman"/>
                <w:sz w:val="28"/>
                <w:szCs w:val="28"/>
              </w:rPr>
            </w:pPr>
            <w:r w:rsidRPr="00D55FE0">
              <w:rPr>
                <w:rFonts w:eastAsia="Times New Roman"/>
                <w:sz w:val="28"/>
                <w:szCs w:val="28"/>
              </w:rPr>
              <w:t>При заполнении графы 4 "Код поставки" применяется нижеследующая кодировка поставок:</w:t>
            </w:r>
          </w:p>
          <w:p w:rsidR="0071620D" w:rsidRDefault="00D55FE0" w:rsidP="009E168A">
            <w:pPr>
              <w:pStyle w:val="tkNazvanie"/>
              <w:spacing w:before="0" w:after="0" w:line="240" w:lineRule="auto"/>
              <w:ind w:left="0" w:right="-1"/>
            </w:pPr>
            <w:r>
              <w:t>…………………….</w:t>
            </w:r>
          </w:p>
          <w:tbl>
            <w:tblPr>
              <w:tblW w:w="5000" w:type="pct"/>
              <w:tblLayout w:type="fixed"/>
              <w:tblCellMar>
                <w:left w:w="0" w:type="dxa"/>
                <w:right w:w="0" w:type="dxa"/>
              </w:tblCellMar>
              <w:tblLook w:val="04A0" w:firstRow="1" w:lastRow="0" w:firstColumn="1" w:lastColumn="0" w:noHBand="0" w:noVBand="1"/>
            </w:tblPr>
            <w:tblGrid>
              <w:gridCol w:w="733"/>
              <w:gridCol w:w="6119"/>
            </w:tblGrid>
            <w:tr w:rsidR="00D55FE0" w:rsidRPr="00E92C01" w:rsidTr="00D55FE0">
              <w:tc>
                <w:tcPr>
                  <w:tcW w:w="5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55FE0" w:rsidRDefault="00D55FE0" w:rsidP="00035978">
                  <w:pPr>
                    <w:jc w:val="both"/>
                    <w:rPr>
                      <w:rFonts w:eastAsia="Times New Roman"/>
                      <w:sz w:val="28"/>
                      <w:szCs w:val="28"/>
                    </w:rPr>
                  </w:pPr>
                </w:p>
                <w:p w:rsidR="00D55FE0" w:rsidRPr="00E92C01" w:rsidRDefault="00D55FE0" w:rsidP="00035978">
                  <w:pPr>
                    <w:jc w:val="both"/>
                    <w:rPr>
                      <w:rFonts w:eastAsia="Times New Roman"/>
                      <w:sz w:val="28"/>
                      <w:szCs w:val="28"/>
                    </w:rPr>
                  </w:pPr>
                  <w:r w:rsidRPr="00E92C01">
                    <w:rPr>
                      <w:rFonts w:eastAsia="Times New Roman"/>
                      <w:sz w:val="28"/>
                      <w:szCs w:val="28"/>
                    </w:rPr>
                    <w:t>2</w:t>
                  </w:r>
                  <w:r>
                    <w:rPr>
                      <w:rFonts w:eastAsia="Times New Roman"/>
                      <w:sz w:val="28"/>
                      <w:szCs w:val="28"/>
                    </w:rPr>
                    <w:t>33</w:t>
                  </w:r>
                </w:p>
              </w:tc>
              <w:tc>
                <w:tcPr>
                  <w:tcW w:w="446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55FE0" w:rsidRPr="00E92C01" w:rsidRDefault="00D55FE0" w:rsidP="00035978">
                  <w:pPr>
                    <w:ind w:firstLine="567"/>
                    <w:jc w:val="both"/>
                    <w:rPr>
                      <w:rFonts w:eastAsia="Times New Roman"/>
                      <w:sz w:val="28"/>
                      <w:szCs w:val="28"/>
                    </w:rPr>
                  </w:pPr>
                  <w:r>
                    <w:rPr>
                      <w:rFonts w:eastAsia="Times New Roman"/>
                      <w:sz w:val="28"/>
                      <w:szCs w:val="28"/>
                    </w:rPr>
                    <w:t>Поставка транспортных средств, приводимых в движение только электрическим двигателем, производимых на предприятиях Кыргызской Республики</w:t>
                  </w:r>
                </w:p>
              </w:tc>
            </w:tr>
          </w:tbl>
          <w:p w:rsidR="00D55FE0" w:rsidRDefault="00D55FE0" w:rsidP="009E168A">
            <w:pPr>
              <w:pStyle w:val="tkNazvanie"/>
              <w:spacing w:before="0" w:after="0" w:line="240" w:lineRule="auto"/>
              <w:ind w:left="0" w:right="-1"/>
            </w:pPr>
          </w:p>
        </w:tc>
      </w:tr>
      <w:tr w:rsidR="0071620D" w:rsidRPr="00184A0B" w:rsidTr="0063450C">
        <w:trPr>
          <w:trHeight w:val="1014"/>
        </w:trPr>
        <w:tc>
          <w:tcPr>
            <w:tcW w:w="14709" w:type="dxa"/>
            <w:gridSpan w:val="3"/>
            <w:tcBorders>
              <w:top w:val="single" w:sz="4" w:space="0" w:color="auto"/>
              <w:left w:val="single" w:sz="4" w:space="0" w:color="auto"/>
              <w:bottom w:val="single" w:sz="4" w:space="0" w:color="auto"/>
              <w:right w:val="single" w:sz="4" w:space="0" w:color="auto"/>
            </w:tcBorders>
          </w:tcPr>
          <w:p w:rsidR="0071620D" w:rsidRPr="0071620D" w:rsidRDefault="0071620D" w:rsidP="009E168A">
            <w:pPr>
              <w:pStyle w:val="tkNazvanie"/>
              <w:spacing w:before="0" w:after="0" w:line="240" w:lineRule="auto"/>
              <w:ind w:left="0" w:right="-1"/>
              <w:rPr>
                <w:rFonts w:ascii="Times New Roman" w:hAnsi="Times New Roman" w:cs="Times New Roman"/>
                <w:b w:val="0"/>
              </w:rPr>
            </w:pPr>
            <w:r w:rsidRPr="0071620D">
              <w:rPr>
                <w:rFonts w:ascii="Times New Roman" w:hAnsi="Times New Roman" w:cs="Times New Roman"/>
                <w:b w:val="0"/>
                <w:sz w:val="28"/>
                <w:szCs w:val="28"/>
              </w:rPr>
              <w:lastRenderedPageBreak/>
              <w:t>постановления Правительства Кыргызской Республики</w:t>
            </w:r>
            <w:r w:rsidRPr="0071620D">
              <w:rPr>
                <w:rFonts w:ascii="Times New Roman" w:eastAsiaTheme="minorEastAsia" w:hAnsi="Times New Roman" w:cs="Times New Roman"/>
                <w:b w:val="0"/>
              </w:rPr>
              <w:t xml:space="preserve"> </w:t>
            </w:r>
            <w:r w:rsidRPr="0071620D">
              <w:rPr>
                <w:rFonts w:ascii="Times New Roman" w:eastAsiaTheme="minorEastAsia" w:hAnsi="Times New Roman" w:cs="Times New Roman"/>
                <w:b w:val="0"/>
                <w:sz w:val="28"/>
                <w:szCs w:val="28"/>
              </w:rPr>
              <w:t>«</w:t>
            </w:r>
            <w:r w:rsidRPr="0071620D">
              <w:rPr>
                <w:rFonts w:ascii="Times New Roman" w:hAnsi="Times New Roman" w:cs="Times New Roman"/>
                <w:b w:val="0"/>
                <w:sz w:val="28"/>
                <w:szCs w:val="28"/>
              </w:rPr>
              <w:t>О внесении изменений в постановление Правительства Кыргызской Республики «Об утверждении форм отчетности и порядков их заполнения и представления» от 9 октября 2015 года № 699</w:t>
            </w:r>
          </w:p>
        </w:tc>
      </w:tr>
      <w:tr w:rsidR="009E168A" w:rsidRPr="00184A0B" w:rsidTr="00C847A9">
        <w:trPr>
          <w:trHeight w:val="3636"/>
        </w:trPr>
        <w:tc>
          <w:tcPr>
            <w:tcW w:w="7621" w:type="dxa"/>
            <w:gridSpan w:val="2"/>
            <w:tcBorders>
              <w:top w:val="single" w:sz="4" w:space="0" w:color="auto"/>
              <w:left w:val="single" w:sz="4" w:space="0" w:color="auto"/>
              <w:bottom w:val="single" w:sz="4" w:space="0" w:color="auto"/>
              <w:right w:val="single" w:sz="4" w:space="0" w:color="auto"/>
            </w:tcBorders>
          </w:tcPr>
          <w:p w:rsidR="009E168A" w:rsidRPr="009E168A" w:rsidRDefault="00C847A9" w:rsidP="009E168A">
            <w:pPr>
              <w:pStyle w:val="tkNazvanie"/>
              <w:spacing w:before="0" w:after="0" w:line="240" w:lineRule="auto"/>
              <w:ind w:left="0" w:right="-1"/>
              <w:rPr>
                <w:rFonts w:ascii="Times New Roman" w:hAnsi="Times New Roman" w:cs="Times New Roman"/>
                <w:b w:val="0"/>
              </w:rPr>
            </w:pPr>
            <w:r>
              <w:object w:dxaOrig="18460" w:dyaOrig="11458">
                <v:shape id="_x0000_i1029" type="#_x0000_t75" style="width:370pt;height:193.5pt" o:ole="">
                  <v:imagedata r:id="rId23" o:title=""/>
                </v:shape>
                <o:OLEObject Type="Embed" ProgID="Visio.Drawing.11" ShapeID="_x0000_i1029" DrawAspect="Content" ObjectID="_1664191701" r:id="rId24"/>
              </w:object>
            </w:r>
          </w:p>
        </w:tc>
        <w:tc>
          <w:tcPr>
            <w:tcW w:w="7088" w:type="dxa"/>
            <w:tcBorders>
              <w:top w:val="single" w:sz="4" w:space="0" w:color="auto"/>
              <w:left w:val="single" w:sz="4" w:space="0" w:color="auto"/>
              <w:bottom w:val="single" w:sz="4" w:space="0" w:color="auto"/>
              <w:right w:val="single" w:sz="4" w:space="0" w:color="auto"/>
            </w:tcBorders>
          </w:tcPr>
          <w:p w:rsidR="009E168A" w:rsidRPr="009E168A" w:rsidRDefault="00C847A9" w:rsidP="009E168A">
            <w:pPr>
              <w:pStyle w:val="tkNazvanie"/>
              <w:spacing w:before="0" w:after="0" w:line="240" w:lineRule="auto"/>
              <w:ind w:left="0" w:right="-1"/>
              <w:rPr>
                <w:rFonts w:ascii="Times New Roman" w:hAnsi="Times New Roman" w:cs="Times New Roman"/>
                <w:b w:val="0"/>
              </w:rPr>
            </w:pPr>
            <w:r>
              <w:object w:dxaOrig="19356" w:dyaOrig="11599">
                <v:shape id="_x0000_i1030" type="#_x0000_t75" style="width:343.5pt;height:186.5pt" o:ole="">
                  <v:imagedata r:id="rId25" o:title=""/>
                </v:shape>
                <o:OLEObject Type="Embed" ProgID="Visio.Drawing.11" ShapeID="_x0000_i1030" DrawAspect="Content" ObjectID="_1664191702" r:id="rId26"/>
              </w:object>
            </w:r>
          </w:p>
        </w:tc>
      </w:tr>
      <w:tr w:rsidR="009E168A" w:rsidRPr="00184A0B" w:rsidTr="003000CB">
        <w:trPr>
          <w:trHeight w:val="3534"/>
        </w:trPr>
        <w:tc>
          <w:tcPr>
            <w:tcW w:w="7621" w:type="dxa"/>
            <w:gridSpan w:val="2"/>
            <w:tcBorders>
              <w:top w:val="single" w:sz="4" w:space="0" w:color="auto"/>
              <w:left w:val="single" w:sz="4" w:space="0" w:color="auto"/>
              <w:bottom w:val="single" w:sz="4" w:space="0" w:color="auto"/>
              <w:right w:val="single" w:sz="4" w:space="0" w:color="auto"/>
            </w:tcBorders>
          </w:tcPr>
          <w:p w:rsidR="009E168A" w:rsidRPr="009E168A" w:rsidRDefault="00C847A9" w:rsidP="007949AB">
            <w:pPr>
              <w:pStyle w:val="tkNazvanie"/>
              <w:spacing w:before="0" w:after="0" w:line="240" w:lineRule="auto"/>
              <w:ind w:left="0" w:right="-1"/>
              <w:rPr>
                <w:rFonts w:ascii="Times New Roman" w:hAnsi="Times New Roman" w:cs="Times New Roman"/>
                <w:b w:val="0"/>
              </w:rPr>
            </w:pPr>
            <w:r>
              <w:object w:dxaOrig="17556" w:dyaOrig="11754">
                <v:shape id="_x0000_i1031" type="#_x0000_t75" style="width:369.5pt;height:219pt" o:ole="">
                  <v:imagedata r:id="rId27" o:title=""/>
                </v:shape>
                <o:OLEObject Type="Embed" ProgID="Visio.Drawing.11" ShapeID="_x0000_i1031" DrawAspect="Content" ObjectID="_1664191703" r:id="rId28"/>
              </w:object>
            </w:r>
          </w:p>
        </w:tc>
        <w:tc>
          <w:tcPr>
            <w:tcW w:w="7088" w:type="dxa"/>
            <w:tcBorders>
              <w:top w:val="single" w:sz="4" w:space="0" w:color="auto"/>
              <w:left w:val="single" w:sz="4" w:space="0" w:color="auto"/>
              <w:bottom w:val="single" w:sz="4" w:space="0" w:color="auto"/>
              <w:right w:val="single" w:sz="4" w:space="0" w:color="auto"/>
            </w:tcBorders>
          </w:tcPr>
          <w:p w:rsidR="009E168A" w:rsidRPr="009E168A" w:rsidRDefault="00C847A9" w:rsidP="007B1DBD">
            <w:pPr>
              <w:pStyle w:val="tkNazvanie"/>
              <w:spacing w:before="0" w:after="0" w:line="240" w:lineRule="auto"/>
              <w:ind w:left="0" w:right="-1"/>
              <w:jc w:val="both"/>
              <w:rPr>
                <w:rFonts w:ascii="Times New Roman" w:hAnsi="Times New Roman" w:cs="Times New Roman"/>
                <w:b w:val="0"/>
              </w:rPr>
            </w:pPr>
            <w:r>
              <w:object w:dxaOrig="18403" w:dyaOrig="11640">
                <v:shape id="_x0000_i1032" type="#_x0000_t75" style="width:343pt;height:208pt" o:ole="">
                  <v:imagedata r:id="rId29" o:title=""/>
                </v:shape>
                <o:OLEObject Type="Embed" ProgID="Visio.Drawing.11" ShapeID="_x0000_i1032" DrawAspect="Content" ObjectID="_1664191704" r:id="rId30"/>
              </w:object>
            </w:r>
          </w:p>
        </w:tc>
      </w:tr>
      <w:tr w:rsidR="009E168A" w:rsidRPr="00184A0B" w:rsidTr="007B1DBD">
        <w:trPr>
          <w:trHeight w:val="1014"/>
        </w:trPr>
        <w:tc>
          <w:tcPr>
            <w:tcW w:w="7621" w:type="dxa"/>
            <w:gridSpan w:val="2"/>
            <w:tcBorders>
              <w:top w:val="single" w:sz="4" w:space="0" w:color="auto"/>
              <w:left w:val="single" w:sz="4" w:space="0" w:color="auto"/>
              <w:bottom w:val="single" w:sz="4" w:space="0" w:color="auto"/>
              <w:right w:val="single" w:sz="4" w:space="0" w:color="auto"/>
            </w:tcBorders>
          </w:tcPr>
          <w:p w:rsidR="009E168A" w:rsidRPr="009E168A" w:rsidRDefault="009C67C5" w:rsidP="007949AB">
            <w:pPr>
              <w:pStyle w:val="tkNazvanie"/>
              <w:spacing w:before="0" w:after="0" w:line="240" w:lineRule="auto"/>
              <w:ind w:left="0" w:right="-1"/>
              <w:rPr>
                <w:rFonts w:ascii="Times New Roman" w:hAnsi="Times New Roman" w:cs="Times New Roman"/>
                <w:b w:val="0"/>
              </w:rPr>
            </w:pPr>
            <w:r>
              <w:object w:dxaOrig="17027" w:dyaOrig="11374">
                <v:shape id="_x0000_i1033" type="#_x0000_t75" style="width:369.5pt;height:197pt" o:ole="">
                  <v:imagedata r:id="rId31" o:title=""/>
                </v:shape>
                <o:OLEObject Type="Embed" ProgID="Visio.Drawing.11" ShapeID="_x0000_i1033" DrawAspect="Content" ObjectID="_1664191705" r:id="rId32"/>
              </w:object>
            </w:r>
          </w:p>
        </w:tc>
        <w:tc>
          <w:tcPr>
            <w:tcW w:w="7088" w:type="dxa"/>
            <w:tcBorders>
              <w:top w:val="single" w:sz="4" w:space="0" w:color="auto"/>
              <w:left w:val="single" w:sz="4" w:space="0" w:color="auto"/>
              <w:bottom w:val="single" w:sz="4" w:space="0" w:color="auto"/>
              <w:right w:val="single" w:sz="4" w:space="0" w:color="auto"/>
            </w:tcBorders>
          </w:tcPr>
          <w:p w:rsidR="009E168A" w:rsidRPr="00184A0B" w:rsidRDefault="003000CB" w:rsidP="007949AB">
            <w:pPr>
              <w:pStyle w:val="tkNazvanie"/>
              <w:spacing w:before="0" w:after="0" w:line="240" w:lineRule="auto"/>
              <w:ind w:left="0" w:right="-1"/>
              <w:rPr>
                <w:rFonts w:ascii="Times New Roman" w:hAnsi="Times New Roman" w:cs="Times New Roman"/>
                <w:b w:val="0"/>
              </w:rPr>
            </w:pPr>
            <w:r>
              <w:object w:dxaOrig="18422" w:dyaOrig="11470">
                <v:shape id="_x0000_i1034" type="#_x0000_t75" style="width:343.5pt;height:214pt" o:ole="">
                  <v:imagedata r:id="rId33" o:title=""/>
                </v:shape>
                <o:OLEObject Type="Embed" ProgID="Visio.Drawing.11" ShapeID="_x0000_i1034" DrawAspect="Content" ObjectID="_1664191706" r:id="rId34"/>
              </w:object>
            </w:r>
          </w:p>
        </w:tc>
      </w:tr>
      <w:tr w:rsidR="00BF0421" w:rsidRPr="002D3DE6" w:rsidTr="00445B22">
        <w:trPr>
          <w:trHeight w:val="70"/>
        </w:trPr>
        <w:tc>
          <w:tcPr>
            <w:tcW w:w="7621" w:type="dxa"/>
            <w:gridSpan w:val="2"/>
            <w:tcBorders>
              <w:top w:val="single" w:sz="4" w:space="0" w:color="auto"/>
              <w:left w:val="single" w:sz="4" w:space="0" w:color="auto"/>
              <w:bottom w:val="single" w:sz="4" w:space="0" w:color="auto"/>
              <w:right w:val="single" w:sz="4" w:space="0" w:color="auto"/>
            </w:tcBorders>
          </w:tcPr>
          <w:p w:rsidR="00BF0421" w:rsidRPr="00B9603E" w:rsidRDefault="009C67C5" w:rsidP="007B1DBD">
            <w:pPr>
              <w:pStyle w:val="tkZagolovok5"/>
              <w:spacing w:before="0" w:after="0" w:line="240" w:lineRule="auto"/>
              <w:ind w:firstLine="0"/>
              <w:rPr>
                <w:rFonts w:ascii="Times New Roman" w:eastAsiaTheme="minorEastAsia" w:hAnsi="Times New Roman" w:cs="Times New Roman"/>
                <w:sz w:val="24"/>
                <w:szCs w:val="24"/>
              </w:rPr>
            </w:pPr>
            <w:r>
              <w:object w:dxaOrig="18432" w:dyaOrig="11612">
                <v:shape id="_x0000_i1035" type="#_x0000_t75" style="width:369.5pt;height:196pt" o:ole="">
                  <v:imagedata r:id="rId35" o:title=""/>
                </v:shape>
                <o:OLEObject Type="Embed" ProgID="Visio.Drawing.11" ShapeID="_x0000_i1035" DrawAspect="Content" ObjectID="_1664191707" r:id="rId36"/>
              </w:object>
            </w:r>
          </w:p>
        </w:tc>
        <w:tc>
          <w:tcPr>
            <w:tcW w:w="7088" w:type="dxa"/>
            <w:tcBorders>
              <w:top w:val="single" w:sz="4" w:space="0" w:color="auto"/>
              <w:left w:val="single" w:sz="4" w:space="0" w:color="auto"/>
              <w:bottom w:val="single" w:sz="4" w:space="0" w:color="auto"/>
              <w:right w:val="single" w:sz="4" w:space="0" w:color="auto"/>
            </w:tcBorders>
          </w:tcPr>
          <w:p w:rsidR="00BF0421" w:rsidRPr="00B9603E" w:rsidRDefault="006F5806" w:rsidP="007B1DBD">
            <w:pPr>
              <w:pStyle w:val="tkZagolovok5"/>
              <w:spacing w:before="0" w:after="0" w:line="240" w:lineRule="auto"/>
              <w:ind w:firstLine="0"/>
              <w:rPr>
                <w:rFonts w:ascii="Times New Roman" w:eastAsiaTheme="minorEastAsia" w:hAnsi="Times New Roman" w:cs="Times New Roman"/>
                <w:b w:val="0"/>
                <w:sz w:val="24"/>
                <w:szCs w:val="24"/>
              </w:rPr>
            </w:pPr>
            <w:r>
              <w:object w:dxaOrig="19413" w:dyaOrig="11783">
                <v:shape id="_x0000_i1036" type="#_x0000_t75" style="width:342.5pt;height:208pt" o:ole="">
                  <v:imagedata r:id="rId37" o:title=""/>
                </v:shape>
                <o:OLEObject Type="Embed" ProgID="Visio.Drawing.11" ShapeID="_x0000_i1036" DrawAspect="Content" ObjectID="_1664191708" r:id="rId38"/>
              </w:object>
            </w:r>
          </w:p>
        </w:tc>
      </w:tr>
      <w:tr w:rsidR="00445B22" w:rsidRPr="002D3DE6" w:rsidTr="0071620D">
        <w:trPr>
          <w:trHeight w:val="775"/>
        </w:trPr>
        <w:tc>
          <w:tcPr>
            <w:tcW w:w="14709" w:type="dxa"/>
            <w:gridSpan w:val="3"/>
            <w:tcBorders>
              <w:top w:val="single" w:sz="4" w:space="0" w:color="auto"/>
              <w:left w:val="single" w:sz="4" w:space="0" w:color="auto"/>
              <w:bottom w:val="single" w:sz="4" w:space="0" w:color="auto"/>
              <w:right w:val="single" w:sz="4" w:space="0" w:color="auto"/>
            </w:tcBorders>
          </w:tcPr>
          <w:p w:rsidR="00445B22" w:rsidRPr="0071620D" w:rsidRDefault="00FD1E90" w:rsidP="0071620D">
            <w:pPr>
              <w:pStyle w:val="tkNazvanie"/>
              <w:spacing w:before="0" w:after="0" w:line="240" w:lineRule="auto"/>
              <w:rPr>
                <w:rFonts w:ascii="Times New Roman" w:hAnsi="Times New Roman" w:cs="Times New Roman"/>
                <w:sz w:val="28"/>
                <w:szCs w:val="28"/>
              </w:rPr>
            </w:pPr>
            <w:r w:rsidRPr="00FD1E90">
              <w:rPr>
                <w:rFonts w:ascii="Times New Roman" w:hAnsi="Times New Roman" w:cs="Times New Roman"/>
                <w:sz w:val="28"/>
                <w:szCs w:val="28"/>
              </w:rPr>
              <w:t>ПОРЯДОК</w:t>
            </w:r>
            <w:r w:rsidRPr="00FD1E90">
              <w:rPr>
                <w:rFonts w:ascii="Times New Roman" w:hAnsi="Times New Roman" w:cs="Times New Roman"/>
                <w:sz w:val="28"/>
                <w:szCs w:val="28"/>
              </w:rPr>
              <w:br/>
              <w:t>заполнения и представления отчета по роялти (FORM STI-138, FORM STI-139, FORM STI-140)</w:t>
            </w:r>
          </w:p>
        </w:tc>
      </w:tr>
      <w:tr w:rsidR="00BA41CE" w:rsidRPr="00FD1E90" w:rsidTr="00652F6F">
        <w:trPr>
          <w:trHeight w:val="1692"/>
        </w:trPr>
        <w:tc>
          <w:tcPr>
            <w:tcW w:w="7479" w:type="dxa"/>
            <w:tcBorders>
              <w:top w:val="single" w:sz="4" w:space="0" w:color="auto"/>
              <w:left w:val="single" w:sz="4" w:space="0" w:color="auto"/>
              <w:bottom w:val="single" w:sz="4" w:space="0" w:color="auto"/>
              <w:right w:val="single" w:sz="4" w:space="0" w:color="auto"/>
            </w:tcBorders>
          </w:tcPr>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lastRenderedPageBreak/>
              <w:t xml:space="preserve">24. В случае отсутствия значений показателей в ячейках 050, 051, 052, 053, 054, 055, 056, 057, 058, 059, 060, 061, 062, 063, 064, 065, 066, 067, 068, 069, 070, 071, 072, 073, </w:t>
            </w:r>
            <w:r w:rsidRPr="00696549">
              <w:rPr>
                <w:rFonts w:ascii="Times New Roman" w:hAnsi="Times New Roman" w:cs="Times New Roman"/>
                <w:strike/>
                <w:sz w:val="28"/>
                <w:szCs w:val="28"/>
              </w:rPr>
              <w:t>074, 075, 076,</w:t>
            </w:r>
            <w:r w:rsidRPr="00FD1E90">
              <w:rPr>
                <w:rFonts w:ascii="Times New Roman" w:hAnsi="Times New Roman" w:cs="Times New Roman"/>
                <w:sz w:val="28"/>
                <w:szCs w:val="28"/>
              </w:rPr>
              <w:t xml:space="preserve"> 077, 078, 079, 080, 081, 082, 083, 084, 085, 086, 087, 088, 089, 090 и 091 указывается цифра "0".</w:t>
            </w:r>
          </w:p>
          <w:p w:rsidR="00E82B70" w:rsidRDefault="00E82B70" w:rsidP="00696549">
            <w:pPr>
              <w:pStyle w:val="tkTekst"/>
              <w:spacing w:after="0" w:line="240" w:lineRule="auto"/>
              <w:rPr>
                <w:rFonts w:ascii="Times New Roman" w:hAnsi="Times New Roman" w:cs="Times New Roman"/>
                <w:sz w:val="28"/>
                <w:szCs w:val="28"/>
              </w:rPr>
            </w:pPr>
          </w:p>
          <w:p w:rsidR="009C7110" w:rsidRDefault="00696549"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w:t>
            </w:r>
          </w:p>
          <w:p w:rsidR="00FD1E90" w:rsidRPr="00EF791C" w:rsidRDefault="00FD1E90" w:rsidP="00696549">
            <w:pPr>
              <w:pStyle w:val="tkTekst"/>
              <w:spacing w:after="0" w:line="240" w:lineRule="auto"/>
              <w:rPr>
                <w:rFonts w:ascii="Times New Roman" w:hAnsi="Times New Roman" w:cs="Times New Roman"/>
                <w:b/>
                <w:sz w:val="28"/>
                <w:szCs w:val="28"/>
              </w:rPr>
            </w:pPr>
            <w:r w:rsidRPr="00EF791C">
              <w:rPr>
                <w:rFonts w:ascii="Times New Roman" w:hAnsi="Times New Roman" w:cs="Times New Roman"/>
                <w:b/>
                <w:sz w:val="28"/>
                <w:szCs w:val="28"/>
              </w:rPr>
              <w:t>26. В ячейках 068, 071, 074, 077, 080, 083, 086 и 089 отчета указывается выручка, полученная от реализации полезных ископаемых. В случае реализации продуктов переработки полезных ископаемых в указанных ячейках отражается выручка, полученная от их реализаций.</w:t>
            </w:r>
          </w:p>
          <w:p w:rsidR="009C7110" w:rsidRDefault="009C7110" w:rsidP="00696549">
            <w:pPr>
              <w:pStyle w:val="tkTekst"/>
              <w:spacing w:after="0" w:line="240" w:lineRule="auto"/>
              <w:rPr>
                <w:rFonts w:ascii="Times New Roman" w:hAnsi="Times New Roman" w:cs="Times New Roman"/>
                <w:sz w:val="28"/>
                <w:szCs w:val="28"/>
              </w:rPr>
            </w:pPr>
          </w:p>
          <w:p w:rsidR="002F6D7F" w:rsidRDefault="002F6D7F" w:rsidP="00696549">
            <w:pPr>
              <w:pStyle w:val="tkTekst"/>
              <w:spacing w:after="0" w:line="240" w:lineRule="auto"/>
              <w:rPr>
                <w:rFonts w:ascii="Times New Roman" w:hAnsi="Times New Roman" w:cs="Times New Roman"/>
                <w:sz w:val="28"/>
                <w:szCs w:val="28"/>
              </w:rPr>
            </w:pPr>
          </w:p>
          <w:p w:rsidR="002F6D7F" w:rsidRDefault="002F6D7F" w:rsidP="00696549">
            <w:pPr>
              <w:pStyle w:val="tkTekst"/>
              <w:spacing w:after="0" w:line="240" w:lineRule="auto"/>
              <w:rPr>
                <w:rFonts w:ascii="Times New Roman" w:hAnsi="Times New Roman" w:cs="Times New Roman"/>
                <w:sz w:val="28"/>
                <w:szCs w:val="28"/>
              </w:rPr>
            </w:pPr>
          </w:p>
          <w:p w:rsidR="002F6D7F" w:rsidRDefault="002F6D7F" w:rsidP="00696549">
            <w:pPr>
              <w:pStyle w:val="tkTekst"/>
              <w:spacing w:after="0" w:line="240" w:lineRule="auto"/>
              <w:rPr>
                <w:rFonts w:ascii="Times New Roman" w:hAnsi="Times New Roman" w:cs="Times New Roman"/>
                <w:sz w:val="28"/>
                <w:szCs w:val="28"/>
              </w:rPr>
            </w:pPr>
          </w:p>
          <w:p w:rsidR="002F6D7F" w:rsidRDefault="002F6D7F" w:rsidP="00696549">
            <w:pPr>
              <w:pStyle w:val="tkTekst"/>
              <w:spacing w:after="0" w:line="240" w:lineRule="auto"/>
              <w:rPr>
                <w:rFonts w:ascii="Times New Roman" w:hAnsi="Times New Roman" w:cs="Times New Roman"/>
                <w:sz w:val="28"/>
                <w:szCs w:val="28"/>
              </w:rPr>
            </w:pPr>
          </w:p>
          <w:p w:rsidR="002F6D7F" w:rsidRDefault="002F6D7F" w:rsidP="00696549">
            <w:pPr>
              <w:pStyle w:val="tkTekst"/>
              <w:spacing w:after="0" w:line="240" w:lineRule="auto"/>
              <w:rPr>
                <w:rFonts w:ascii="Times New Roman" w:hAnsi="Times New Roman" w:cs="Times New Roman"/>
                <w:sz w:val="28"/>
                <w:szCs w:val="28"/>
              </w:rPr>
            </w:pPr>
          </w:p>
          <w:p w:rsidR="002F6D7F" w:rsidRDefault="002F6D7F" w:rsidP="00696549">
            <w:pPr>
              <w:pStyle w:val="tkTekst"/>
              <w:spacing w:after="0" w:line="240" w:lineRule="auto"/>
              <w:rPr>
                <w:rFonts w:ascii="Times New Roman" w:hAnsi="Times New Roman" w:cs="Times New Roman"/>
                <w:sz w:val="28"/>
                <w:szCs w:val="28"/>
              </w:rPr>
            </w:pPr>
          </w:p>
          <w:p w:rsidR="002F6D7F" w:rsidRDefault="002F6D7F" w:rsidP="00696549">
            <w:pPr>
              <w:pStyle w:val="tkTekst"/>
              <w:spacing w:after="0" w:line="240" w:lineRule="auto"/>
              <w:rPr>
                <w:rFonts w:ascii="Times New Roman" w:hAnsi="Times New Roman" w:cs="Times New Roman"/>
                <w:sz w:val="28"/>
                <w:szCs w:val="28"/>
              </w:rPr>
            </w:pPr>
          </w:p>
          <w:p w:rsidR="002F6D7F" w:rsidRDefault="002F6D7F" w:rsidP="00696549">
            <w:pPr>
              <w:pStyle w:val="tkTekst"/>
              <w:spacing w:after="0" w:line="240" w:lineRule="auto"/>
              <w:rPr>
                <w:rFonts w:ascii="Times New Roman" w:hAnsi="Times New Roman" w:cs="Times New Roman"/>
                <w:sz w:val="28"/>
                <w:szCs w:val="28"/>
              </w:rPr>
            </w:pPr>
          </w:p>
          <w:p w:rsidR="00696549" w:rsidRDefault="00696549" w:rsidP="00696549">
            <w:pPr>
              <w:pStyle w:val="tkTekst"/>
              <w:spacing w:after="0" w:line="240" w:lineRule="auto"/>
              <w:rPr>
                <w:rFonts w:ascii="Times New Roman" w:hAnsi="Times New Roman" w:cs="Times New Roman"/>
                <w:sz w:val="28"/>
                <w:szCs w:val="28"/>
              </w:rPr>
            </w:pPr>
          </w:p>
          <w:p w:rsidR="00696549" w:rsidRDefault="00696549" w:rsidP="00696549">
            <w:pPr>
              <w:pStyle w:val="tkTekst"/>
              <w:spacing w:after="0" w:line="240" w:lineRule="auto"/>
              <w:rPr>
                <w:rFonts w:ascii="Times New Roman" w:hAnsi="Times New Roman" w:cs="Times New Roman"/>
                <w:sz w:val="28"/>
                <w:szCs w:val="28"/>
              </w:rPr>
            </w:pPr>
          </w:p>
          <w:p w:rsidR="00696549" w:rsidRDefault="00696549" w:rsidP="00696549">
            <w:pPr>
              <w:pStyle w:val="tkTekst"/>
              <w:spacing w:after="0" w:line="240" w:lineRule="auto"/>
              <w:rPr>
                <w:rFonts w:ascii="Times New Roman" w:hAnsi="Times New Roman" w:cs="Times New Roman"/>
                <w:sz w:val="28"/>
                <w:szCs w:val="28"/>
              </w:rPr>
            </w:pPr>
          </w:p>
          <w:p w:rsidR="00696549" w:rsidRDefault="00696549" w:rsidP="00696549">
            <w:pPr>
              <w:pStyle w:val="tkTekst"/>
              <w:spacing w:after="0" w:line="240" w:lineRule="auto"/>
              <w:rPr>
                <w:rFonts w:ascii="Times New Roman" w:hAnsi="Times New Roman" w:cs="Times New Roman"/>
                <w:sz w:val="28"/>
                <w:szCs w:val="28"/>
              </w:rPr>
            </w:pPr>
          </w:p>
          <w:p w:rsidR="00696549" w:rsidRDefault="00696549" w:rsidP="00696549">
            <w:pPr>
              <w:pStyle w:val="tkTekst"/>
              <w:spacing w:after="0" w:line="240" w:lineRule="auto"/>
              <w:rPr>
                <w:rFonts w:ascii="Times New Roman" w:hAnsi="Times New Roman" w:cs="Times New Roman"/>
                <w:sz w:val="28"/>
                <w:szCs w:val="28"/>
              </w:rPr>
            </w:pPr>
          </w:p>
          <w:p w:rsidR="002F6D7F" w:rsidRDefault="002F6D7F" w:rsidP="00696549">
            <w:pPr>
              <w:pStyle w:val="tkTekst"/>
              <w:spacing w:after="0" w:line="240" w:lineRule="auto"/>
              <w:rPr>
                <w:rFonts w:ascii="Times New Roman" w:hAnsi="Times New Roman" w:cs="Times New Roman"/>
                <w:sz w:val="28"/>
                <w:szCs w:val="28"/>
              </w:rPr>
            </w:pP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27. В ячейках 051, 054, 057, 060, 063, 066, 069, 072, </w:t>
            </w:r>
            <w:r w:rsidRPr="00696549">
              <w:rPr>
                <w:rFonts w:ascii="Times New Roman" w:hAnsi="Times New Roman" w:cs="Times New Roman"/>
                <w:b/>
                <w:strike/>
                <w:sz w:val="28"/>
                <w:szCs w:val="28"/>
              </w:rPr>
              <w:t>075</w:t>
            </w:r>
            <w:r w:rsidRPr="00696549">
              <w:rPr>
                <w:rFonts w:ascii="Times New Roman" w:hAnsi="Times New Roman" w:cs="Times New Roman"/>
                <w:strike/>
                <w:sz w:val="28"/>
                <w:szCs w:val="28"/>
              </w:rPr>
              <w:t>,</w:t>
            </w:r>
            <w:r w:rsidRPr="00FD1E90">
              <w:rPr>
                <w:rFonts w:ascii="Times New Roman" w:hAnsi="Times New Roman" w:cs="Times New Roman"/>
                <w:sz w:val="28"/>
                <w:szCs w:val="28"/>
              </w:rPr>
              <w:t xml:space="preserve"> </w:t>
            </w:r>
            <w:r w:rsidRPr="00FD1E90">
              <w:rPr>
                <w:rFonts w:ascii="Times New Roman" w:hAnsi="Times New Roman" w:cs="Times New Roman"/>
                <w:sz w:val="28"/>
                <w:szCs w:val="28"/>
              </w:rPr>
              <w:lastRenderedPageBreak/>
              <w:t xml:space="preserve">078, 081, 084, 087 и 090 указываются ставки роялти согласно </w:t>
            </w:r>
            <w:r w:rsidRPr="00696549">
              <w:rPr>
                <w:rFonts w:ascii="Times New Roman" w:hAnsi="Times New Roman" w:cs="Times New Roman"/>
                <w:sz w:val="28"/>
                <w:szCs w:val="28"/>
              </w:rPr>
              <w:t>статье 310</w:t>
            </w:r>
            <w:r w:rsidRPr="00FD1E90">
              <w:rPr>
                <w:rFonts w:ascii="Times New Roman" w:hAnsi="Times New Roman" w:cs="Times New Roman"/>
                <w:sz w:val="28"/>
                <w:szCs w:val="28"/>
              </w:rPr>
              <w:t xml:space="preserve"> Налогового кодекса.</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28. В ячейке 092 указывается сумма значений ячеек 068, 071, </w:t>
            </w:r>
            <w:r w:rsidRPr="00696549">
              <w:rPr>
                <w:rFonts w:ascii="Times New Roman" w:hAnsi="Times New Roman" w:cs="Times New Roman"/>
                <w:b/>
                <w:strike/>
                <w:sz w:val="28"/>
                <w:szCs w:val="28"/>
              </w:rPr>
              <w:t>074,</w:t>
            </w:r>
            <w:r w:rsidRPr="00FD1E90">
              <w:rPr>
                <w:rFonts w:ascii="Times New Roman" w:hAnsi="Times New Roman" w:cs="Times New Roman"/>
                <w:sz w:val="28"/>
                <w:szCs w:val="28"/>
              </w:rPr>
              <w:t xml:space="preserve"> 077, 080, 083, 086 и 089.</w:t>
            </w:r>
          </w:p>
          <w:p w:rsidR="00696549" w:rsidRDefault="00FD1E90" w:rsidP="00EF791C">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29. В ячейке 093 указывается сумма значений ячеек 052, 055, 058, 061, 064, 067, 070, 073, </w:t>
            </w:r>
            <w:r w:rsidRPr="00696549">
              <w:rPr>
                <w:rFonts w:ascii="Times New Roman" w:hAnsi="Times New Roman" w:cs="Times New Roman"/>
                <w:b/>
                <w:strike/>
                <w:sz w:val="28"/>
                <w:szCs w:val="28"/>
              </w:rPr>
              <w:t>076,</w:t>
            </w:r>
            <w:r w:rsidRPr="00FD1E90">
              <w:rPr>
                <w:rFonts w:ascii="Times New Roman" w:hAnsi="Times New Roman" w:cs="Times New Roman"/>
                <w:sz w:val="28"/>
                <w:szCs w:val="28"/>
              </w:rPr>
              <w:t xml:space="preserve"> 079, 082, 085, 088 и 091.</w:t>
            </w:r>
          </w:p>
          <w:p w:rsidR="00EF791C" w:rsidRPr="00FD1E90" w:rsidRDefault="00EF791C" w:rsidP="00EF791C">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34. </w:t>
            </w:r>
            <w:r w:rsidRPr="00EF791C">
              <w:rPr>
                <w:rFonts w:ascii="Times New Roman" w:hAnsi="Times New Roman" w:cs="Times New Roman"/>
                <w:b/>
                <w:sz w:val="28"/>
                <w:szCs w:val="28"/>
              </w:rPr>
              <w:t>В ячейках 068, 071, 074, 077, 080, 083, 086 и 089 указывается общая сумма выручки, полученная от реализации полезных ископаемых. В случае реализации продуктов переработки полезных ископаемых, в указанных ячейках отражается общая сумма выручки, полученной от их реализации</w:t>
            </w:r>
            <w:r w:rsidRPr="00FD1E90">
              <w:rPr>
                <w:rFonts w:ascii="Times New Roman" w:hAnsi="Times New Roman" w:cs="Times New Roman"/>
                <w:sz w:val="28"/>
                <w:szCs w:val="28"/>
              </w:rPr>
              <w:t>:</w:t>
            </w: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EF791C" w:rsidRDefault="00EF791C" w:rsidP="00696549">
            <w:pPr>
              <w:pStyle w:val="tkTekst"/>
              <w:spacing w:after="0" w:line="240" w:lineRule="auto"/>
              <w:rPr>
                <w:rFonts w:ascii="Times New Roman" w:hAnsi="Times New Roman" w:cs="Times New Roman"/>
                <w:sz w:val="28"/>
                <w:szCs w:val="28"/>
              </w:rPr>
            </w:pP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 в ячейке 068 указывается сумма значений ячеек 168, </w:t>
            </w:r>
            <w:r w:rsidRPr="00FD1E90">
              <w:rPr>
                <w:rFonts w:ascii="Times New Roman" w:hAnsi="Times New Roman" w:cs="Times New Roman"/>
                <w:sz w:val="28"/>
                <w:szCs w:val="28"/>
              </w:rPr>
              <w:lastRenderedPageBreak/>
              <w:t>218 и 268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071 указывается сумма значений ячеек 171, 221 и 271 приложения;</w:t>
            </w:r>
          </w:p>
          <w:p w:rsidR="00FD1E90" w:rsidRPr="00241B1F" w:rsidRDefault="00FD1E90" w:rsidP="00696549">
            <w:pPr>
              <w:pStyle w:val="tkTekst"/>
              <w:spacing w:after="0" w:line="240" w:lineRule="auto"/>
              <w:rPr>
                <w:rFonts w:ascii="Times New Roman" w:hAnsi="Times New Roman" w:cs="Times New Roman"/>
                <w:strike/>
                <w:sz w:val="28"/>
                <w:szCs w:val="28"/>
              </w:rPr>
            </w:pPr>
            <w:r w:rsidRPr="00696549">
              <w:rPr>
                <w:rFonts w:ascii="Times New Roman" w:hAnsi="Times New Roman" w:cs="Times New Roman"/>
                <w:b/>
                <w:strike/>
                <w:sz w:val="28"/>
                <w:szCs w:val="28"/>
              </w:rPr>
              <w:t>- в ячейке 074 указывается сумма значений ячеек 174, 224 и 274 приложения</w:t>
            </w:r>
            <w:r w:rsidRPr="00241B1F">
              <w:rPr>
                <w:rFonts w:ascii="Times New Roman" w:hAnsi="Times New Roman" w:cs="Times New Roman"/>
                <w:strike/>
                <w:sz w:val="28"/>
                <w:szCs w:val="28"/>
              </w:rPr>
              <w:t>;</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077 указывается сумма значений ячеек 177, 227 и 277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35. В ячейках 051, 054, 057, 060, 063, 066, 069, 072, </w:t>
            </w:r>
            <w:r w:rsidRPr="00696549">
              <w:rPr>
                <w:rFonts w:ascii="Times New Roman" w:hAnsi="Times New Roman" w:cs="Times New Roman"/>
                <w:b/>
                <w:strike/>
                <w:sz w:val="28"/>
                <w:szCs w:val="28"/>
              </w:rPr>
              <w:t>075,</w:t>
            </w:r>
            <w:r w:rsidRPr="00FD1E90">
              <w:rPr>
                <w:rFonts w:ascii="Times New Roman" w:hAnsi="Times New Roman" w:cs="Times New Roman"/>
                <w:sz w:val="28"/>
                <w:szCs w:val="28"/>
              </w:rPr>
              <w:t xml:space="preserve"> 078, 081, 084, 087 и 090 указываются ставки роялти.</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36. В ячейках 052, 055, 058, 061, 064, 067, 070, 073, </w:t>
            </w:r>
            <w:r w:rsidRPr="00696549">
              <w:rPr>
                <w:rFonts w:ascii="Times New Roman" w:hAnsi="Times New Roman" w:cs="Times New Roman"/>
                <w:b/>
                <w:strike/>
                <w:sz w:val="28"/>
                <w:szCs w:val="28"/>
              </w:rPr>
              <w:t>076,</w:t>
            </w:r>
            <w:r w:rsidRPr="00FD1E90">
              <w:rPr>
                <w:rFonts w:ascii="Times New Roman" w:hAnsi="Times New Roman" w:cs="Times New Roman"/>
                <w:sz w:val="28"/>
                <w:szCs w:val="28"/>
              </w:rPr>
              <w:t xml:space="preserve"> 079, 082, 085, 088 и 091 указываются общая сумма роялти:</w:t>
            </w:r>
          </w:p>
          <w:p w:rsidR="00696549" w:rsidRDefault="00696549" w:rsidP="00696549">
            <w:pPr>
              <w:pStyle w:val="tkTekst"/>
              <w:spacing w:after="0" w:line="240" w:lineRule="auto"/>
              <w:rPr>
                <w:rFonts w:ascii="Times New Roman" w:hAnsi="Times New Roman" w:cs="Times New Roman"/>
                <w:sz w:val="28"/>
                <w:szCs w:val="28"/>
              </w:rPr>
            </w:pP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052 - сумма значений ячеек 152, 202 и 252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055 - сумма значений ячеек 155, 205 и 255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058 - сумма значений ячеек 158, 208 и 258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061 - сумма значений ячеек 161, 211 и 261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064 - сумма значений ячеек 164, 214 и 264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067 - сумма значений ячеек 167, 217 и 267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070 - сумма значений ячеек 170, 220 и 270 приложения;</w:t>
            </w:r>
          </w:p>
          <w:p w:rsid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073 - сумма значений ячеек 173, 223 и 273 приложения;</w:t>
            </w:r>
          </w:p>
          <w:p w:rsidR="00FD1E90" w:rsidRPr="00696549" w:rsidRDefault="00FD1E90" w:rsidP="00696549">
            <w:pPr>
              <w:pStyle w:val="tkTekst"/>
              <w:spacing w:after="0" w:line="240" w:lineRule="auto"/>
              <w:rPr>
                <w:rFonts w:ascii="Times New Roman" w:hAnsi="Times New Roman" w:cs="Times New Roman"/>
                <w:b/>
                <w:strike/>
                <w:sz w:val="28"/>
                <w:szCs w:val="28"/>
              </w:rPr>
            </w:pPr>
            <w:r w:rsidRPr="00696549">
              <w:rPr>
                <w:rFonts w:ascii="Times New Roman" w:hAnsi="Times New Roman" w:cs="Times New Roman"/>
                <w:b/>
                <w:strike/>
                <w:sz w:val="28"/>
                <w:szCs w:val="28"/>
              </w:rPr>
              <w:t xml:space="preserve">- в ячейке 076 - сумма значений ячеек 176, 226 и 276 </w:t>
            </w:r>
            <w:r w:rsidRPr="00696549">
              <w:rPr>
                <w:rFonts w:ascii="Times New Roman" w:hAnsi="Times New Roman" w:cs="Times New Roman"/>
                <w:b/>
                <w:strike/>
                <w:sz w:val="28"/>
                <w:szCs w:val="28"/>
              </w:rPr>
              <w:lastRenderedPageBreak/>
              <w:t>приложения;</w:t>
            </w:r>
          </w:p>
          <w:p w:rsid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079 - сумма значений ячеек 179, 229 и 279 приложения;</w:t>
            </w:r>
          </w:p>
          <w:p w:rsidR="00696549" w:rsidRPr="00FD1E90" w:rsidRDefault="00696549"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40. В ячейках 168, 171, </w:t>
            </w:r>
            <w:r w:rsidRPr="00696549">
              <w:rPr>
                <w:rFonts w:ascii="Times New Roman" w:hAnsi="Times New Roman" w:cs="Times New Roman"/>
                <w:b/>
                <w:strike/>
                <w:sz w:val="28"/>
                <w:szCs w:val="28"/>
              </w:rPr>
              <w:t>174</w:t>
            </w:r>
            <w:r w:rsidRPr="00696549">
              <w:rPr>
                <w:rFonts w:ascii="Times New Roman" w:hAnsi="Times New Roman" w:cs="Times New Roman"/>
                <w:b/>
                <w:sz w:val="28"/>
                <w:szCs w:val="28"/>
              </w:rPr>
              <w:t>,</w:t>
            </w:r>
            <w:r w:rsidRPr="00FD1E90">
              <w:rPr>
                <w:rFonts w:ascii="Times New Roman" w:hAnsi="Times New Roman" w:cs="Times New Roman"/>
                <w:sz w:val="28"/>
                <w:szCs w:val="28"/>
              </w:rPr>
              <w:t xml:space="preserve"> 177, 180, 183, 186, 189, 218, 221, </w:t>
            </w:r>
            <w:r w:rsidRPr="00696549">
              <w:rPr>
                <w:rFonts w:ascii="Times New Roman" w:hAnsi="Times New Roman" w:cs="Times New Roman"/>
                <w:b/>
                <w:strike/>
                <w:sz w:val="28"/>
                <w:szCs w:val="28"/>
              </w:rPr>
              <w:t>224,</w:t>
            </w:r>
            <w:r w:rsidRPr="00FD1E90">
              <w:rPr>
                <w:rFonts w:ascii="Times New Roman" w:hAnsi="Times New Roman" w:cs="Times New Roman"/>
                <w:sz w:val="28"/>
                <w:szCs w:val="28"/>
              </w:rPr>
              <w:t xml:space="preserve"> 227, 230, 233, 236, 239, 268, 271, </w:t>
            </w:r>
            <w:r w:rsidRPr="00696549">
              <w:rPr>
                <w:rFonts w:ascii="Times New Roman" w:hAnsi="Times New Roman" w:cs="Times New Roman"/>
                <w:b/>
                <w:strike/>
                <w:sz w:val="28"/>
                <w:szCs w:val="28"/>
              </w:rPr>
              <w:t>274,</w:t>
            </w:r>
            <w:r w:rsidRPr="00FD1E90">
              <w:rPr>
                <w:rFonts w:ascii="Times New Roman" w:hAnsi="Times New Roman" w:cs="Times New Roman"/>
                <w:sz w:val="28"/>
                <w:szCs w:val="28"/>
              </w:rPr>
              <w:t xml:space="preserve"> 277, 280, 283, 286 и 289 приложения указывается выручка, полученная от реализации полезных ископаемых. В случае реализации продуктов переработки полезных ископаемых в указанных ячейках отражается выручка, полученная от их реализации. Вышеуказанные данные отражаются в разрезе отчетных месяцев.</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41. В ячейках 151, 154, 157, 160, 163, 166, 169, 172</w:t>
            </w:r>
            <w:r w:rsidRPr="00696549">
              <w:rPr>
                <w:rFonts w:ascii="Times New Roman" w:hAnsi="Times New Roman" w:cs="Times New Roman"/>
                <w:b/>
                <w:sz w:val="28"/>
                <w:szCs w:val="28"/>
              </w:rPr>
              <w:t xml:space="preserve">, </w:t>
            </w:r>
            <w:r w:rsidRPr="00696549">
              <w:rPr>
                <w:rFonts w:ascii="Times New Roman" w:hAnsi="Times New Roman" w:cs="Times New Roman"/>
                <w:b/>
                <w:strike/>
                <w:sz w:val="28"/>
                <w:szCs w:val="28"/>
              </w:rPr>
              <w:t>175,</w:t>
            </w:r>
            <w:r w:rsidRPr="00FD1E90">
              <w:rPr>
                <w:rFonts w:ascii="Times New Roman" w:hAnsi="Times New Roman" w:cs="Times New Roman"/>
                <w:sz w:val="28"/>
                <w:szCs w:val="28"/>
              </w:rPr>
              <w:t xml:space="preserve"> 178, 181, 184, 187, 190, 201, 204, 207, 210, 213, 216, 219, 222, </w:t>
            </w:r>
            <w:r w:rsidRPr="00696549">
              <w:rPr>
                <w:rFonts w:ascii="Times New Roman" w:hAnsi="Times New Roman" w:cs="Times New Roman"/>
                <w:b/>
                <w:strike/>
                <w:sz w:val="28"/>
                <w:szCs w:val="28"/>
              </w:rPr>
              <w:t>225,</w:t>
            </w:r>
            <w:r w:rsidRPr="00FD1E90">
              <w:rPr>
                <w:rFonts w:ascii="Times New Roman" w:hAnsi="Times New Roman" w:cs="Times New Roman"/>
                <w:sz w:val="28"/>
                <w:szCs w:val="28"/>
              </w:rPr>
              <w:t xml:space="preserve"> 228, 231, 234, 237, 240, 251, 254, 257, 260, 263, 266, 269, 272, </w:t>
            </w:r>
            <w:r w:rsidRPr="00696549">
              <w:rPr>
                <w:rFonts w:ascii="Times New Roman" w:hAnsi="Times New Roman" w:cs="Times New Roman"/>
                <w:b/>
                <w:strike/>
                <w:sz w:val="28"/>
                <w:szCs w:val="28"/>
              </w:rPr>
              <w:t>275,</w:t>
            </w:r>
            <w:r w:rsidRPr="00FD1E90">
              <w:rPr>
                <w:rFonts w:ascii="Times New Roman" w:hAnsi="Times New Roman" w:cs="Times New Roman"/>
                <w:sz w:val="28"/>
                <w:szCs w:val="28"/>
              </w:rPr>
              <w:t xml:space="preserve"> 278, 281, 284, 287 и 290 приложения указываются ставки роялти согласно </w:t>
            </w:r>
            <w:r w:rsidRPr="00696549">
              <w:rPr>
                <w:rFonts w:ascii="Times New Roman" w:hAnsi="Times New Roman" w:cs="Times New Roman"/>
                <w:sz w:val="28"/>
                <w:szCs w:val="28"/>
              </w:rPr>
              <w:t>статье 310</w:t>
            </w:r>
            <w:r w:rsidRPr="00FD1E90">
              <w:rPr>
                <w:rFonts w:ascii="Times New Roman" w:hAnsi="Times New Roman" w:cs="Times New Roman"/>
                <w:sz w:val="28"/>
                <w:szCs w:val="28"/>
              </w:rPr>
              <w:t xml:space="preserve"> Налогового кодекса, в разрезе отчетных месяцев.</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42. В ячейке 192 указывается сумма значений ячеек 168, 171, </w:t>
            </w:r>
            <w:r w:rsidRPr="00696549">
              <w:rPr>
                <w:rFonts w:ascii="Times New Roman" w:hAnsi="Times New Roman" w:cs="Times New Roman"/>
                <w:b/>
                <w:strike/>
                <w:sz w:val="28"/>
                <w:szCs w:val="28"/>
              </w:rPr>
              <w:t>174,</w:t>
            </w:r>
            <w:r w:rsidRPr="00FD1E90">
              <w:rPr>
                <w:rFonts w:ascii="Times New Roman" w:hAnsi="Times New Roman" w:cs="Times New Roman"/>
                <w:sz w:val="28"/>
                <w:szCs w:val="28"/>
              </w:rPr>
              <w:t xml:space="preserve"> 177, 180, 183, 186 и 189.</w:t>
            </w:r>
          </w:p>
          <w:p w:rsidR="00446C77" w:rsidRDefault="00446C77" w:rsidP="00696549">
            <w:pPr>
              <w:pStyle w:val="tkTekst"/>
              <w:spacing w:after="0" w:line="240" w:lineRule="auto"/>
              <w:rPr>
                <w:rFonts w:ascii="Times New Roman" w:hAnsi="Times New Roman" w:cs="Times New Roman"/>
                <w:sz w:val="28"/>
                <w:szCs w:val="28"/>
              </w:rPr>
            </w:pPr>
            <w:r w:rsidRPr="00446C77">
              <w:rPr>
                <w:rFonts w:ascii="Times New Roman" w:hAnsi="Times New Roman" w:cs="Times New Roman"/>
                <w:sz w:val="28"/>
                <w:szCs w:val="28"/>
              </w:rPr>
              <w:t xml:space="preserve">43. В ячейке 242 указывается сумма значений ячеек 218, 221, </w:t>
            </w:r>
            <w:r w:rsidRPr="00696549">
              <w:rPr>
                <w:rFonts w:ascii="Times New Roman" w:hAnsi="Times New Roman" w:cs="Times New Roman"/>
                <w:b/>
                <w:strike/>
                <w:sz w:val="28"/>
                <w:szCs w:val="28"/>
              </w:rPr>
              <w:t>224,</w:t>
            </w:r>
            <w:r w:rsidRPr="00446C77">
              <w:rPr>
                <w:rFonts w:ascii="Times New Roman" w:hAnsi="Times New Roman" w:cs="Times New Roman"/>
                <w:sz w:val="28"/>
                <w:szCs w:val="28"/>
              </w:rPr>
              <w:t xml:space="preserve"> 227, 230, 233, 236 и 239. </w:t>
            </w:r>
          </w:p>
          <w:p w:rsidR="006C0EDD" w:rsidRDefault="00446C77" w:rsidP="00696549">
            <w:pPr>
              <w:pStyle w:val="tkTekst"/>
              <w:spacing w:after="0" w:line="240" w:lineRule="auto"/>
              <w:rPr>
                <w:rFonts w:ascii="Times New Roman" w:hAnsi="Times New Roman" w:cs="Times New Roman"/>
                <w:sz w:val="28"/>
                <w:szCs w:val="28"/>
              </w:rPr>
            </w:pPr>
            <w:r w:rsidRPr="00446C77">
              <w:rPr>
                <w:rFonts w:ascii="Times New Roman" w:hAnsi="Times New Roman" w:cs="Times New Roman"/>
                <w:sz w:val="28"/>
                <w:szCs w:val="28"/>
              </w:rPr>
              <w:t xml:space="preserve">44. В ячейке 292 указывается сумма значений ячеек 268, 271, </w:t>
            </w:r>
            <w:r w:rsidRPr="00696549">
              <w:rPr>
                <w:rFonts w:ascii="Times New Roman" w:hAnsi="Times New Roman" w:cs="Times New Roman"/>
                <w:b/>
                <w:strike/>
                <w:sz w:val="28"/>
                <w:szCs w:val="28"/>
              </w:rPr>
              <w:t>274,</w:t>
            </w:r>
            <w:r w:rsidRPr="00446C77">
              <w:rPr>
                <w:rFonts w:ascii="Times New Roman" w:hAnsi="Times New Roman" w:cs="Times New Roman"/>
                <w:sz w:val="28"/>
                <w:szCs w:val="28"/>
              </w:rPr>
              <w:t xml:space="preserve"> 277, 280, 283, 286 и 289.</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45. В ячейке 193 указывается сумма значений ячеек 152, 155, 158, 161, 164, 167, 170, 173, </w:t>
            </w:r>
            <w:r w:rsidRPr="00696549">
              <w:rPr>
                <w:rFonts w:ascii="Times New Roman" w:hAnsi="Times New Roman" w:cs="Times New Roman"/>
                <w:b/>
                <w:strike/>
                <w:sz w:val="28"/>
                <w:szCs w:val="28"/>
              </w:rPr>
              <w:t>176</w:t>
            </w:r>
            <w:r w:rsidRPr="00696549">
              <w:rPr>
                <w:rFonts w:ascii="Times New Roman" w:hAnsi="Times New Roman" w:cs="Times New Roman"/>
                <w:strike/>
                <w:sz w:val="28"/>
                <w:szCs w:val="28"/>
              </w:rPr>
              <w:t>,</w:t>
            </w:r>
            <w:r w:rsidRPr="00FD1E90">
              <w:rPr>
                <w:rFonts w:ascii="Times New Roman" w:hAnsi="Times New Roman" w:cs="Times New Roman"/>
                <w:sz w:val="28"/>
                <w:szCs w:val="28"/>
              </w:rPr>
              <w:t xml:space="preserve"> 179, 182, 185, 188 и 191.</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46. В ячейке 243 указывается сумма значений ячеек 202, 205, 208, 211, 214, 217, 220, 223, </w:t>
            </w:r>
            <w:r w:rsidRPr="00696549">
              <w:rPr>
                <w:rFonts w:ascii="Times New Roman" w:hAnsi="Times New Roman" w:cs="Times New Roman"/>
                <w:b/>
                <w:strike/>
                <w:sz w:val="28"/>
                <w:szCs w:val="28"/>
              </w:rPr>
              <w:t>226,</w:t>
            </w:r>
            <w:r w:rsidRPr="00FD1E90">
              <w:rPr>
                <w:rFonts w:ascii="Times New Roman" w:hAnsi="Times New Roman" w:cs="Times New Roman"/>
                <w:sz w:val="28"/>
                <w:szCs w:val="28"/>
              </w:rPr>
              <w:t xml:space="preserve"> 229, 232, 235, 238 </w:t>
            </w:r>
            <w:r w:rsidRPr="00FD1E90">
              <w:rPr>
                <w:rFonts w:ascii="Times New Roman" w:hAnsi="Times New Roman" w:cs="Times New Roman"/>
                <w:sz w:val="28"/>
                <w:szCs w:val="28"/>
              </w:rPr>
              <w:lastRenderedPageBreak/>
              <w:t>и 241.</w:t>
            </w:r>
          </w:p>
          <w:p w:rsidR="00BA41CE" w:rsidRPr="00EF791C" w:rsidRDefault="00FD1E90" w:rsidP="00EF791C">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47. В ячейке 293 указывается сумма значений ячеек 252, 255, 258, 261, 264, 267, 270, 273, </w:t>
            </w:r>
            <w:r w:rsidRPr="00696549">
              <w:rPr>
                <w:rFonts w:ascii="Times New Roman" w:hAnsi="Times New Roman" w:cs="Times New Roman"/>
                <w:b/>
                <w:strike/>
                <w:sz w:val="28"/>
                <w:szCs w:val="28"/>
              </w:rPr>
              <w:t>276,</w:t>
            </w:r>
            <w:r w:rsidRPr="00FD1E90">
              <w:rPr>
                <w:rFonts w:ascii="Times New Roman" w:hAnsi="Times New Roman" w:cs="Times New Roman"/>
                <w:sz w:val="28"/>
                <w:szCs w:val="28"/>
              </w:rPr>
              <w:t xml:space="preserve"> 279, 282, 285, 288 и 291.</w:t>
            </w:r>
          </w:p>
        </w:tc>
        <w:tc>
          <w:tcPr>
            <w:tcW w:w="7230" w:type="dxa"/>
            <w:gridSpan w:val="2"/>
            <w:tcBorders>
              <w:top w:val="single" w:sz="4" w:space="0" w:color="auto"/>
              <w:left w:val="single" w:sz="4" w:space="0" w:color="auto"/>
              <w:bottom w:val="single" w:sz="4" w:space="0" w:color="auto"/>
              <w:right w:val="single" w:sz="4" w:space="0" w:color="auto"/>
            </w:tcBorders>
          </w:tcPr>
          <w:tbl>
            <w:tblPr>
              <w:tblW w:w="5000" w:type="pct"/>
              <w:tblLayout w:type="fixed"/>
              <w:tblCellMar>
                <w:left w:w="0" w:type="dxa"/>
                <w:right w:w="0" w:type="dxa"/>
              </w:tblCellMar>
              <w:tblLook w:val="04A0" w:firstRow="1" w:lastRow="0" w:firstColumn="1" w:lastColumn="0" w:noHBand="0" w:noVBand="1"/>
            </w:tblPr>
            <w:tblGrid>
              <w:gridCol w:w="7014"/>
            </w:tblGrid>
            <w:tr w:rsidR="00FD1E90" w:rsidRPr="00FD1E90" w:rsidTr="00FD1E90">
              <w:tc>
                <w:tcPr>
                  <w:tcW w:w="1750" w:type="pct"/>
                  <w:tcMar>
                    <w:top w:w="0" w:type="dxa"/>
                    <w:left w:w="108" w:type="dxa"/>
                    <w:bottom w:w="0" w:type="dxa"/>
                    <w:right w:w="108" w:type="dxa"/>
                  </w:tcMar>
                  <w:hideMark/>
                </w:tcPr>
                <w:p w:rsidR="00FD1E90" w:rsidRPr="00FD1E90" w:rsidRDefault="00FD1E90" w:rsidP="00696549">
                  <w:pPr>
                    <w:pStyle w:val="tkGrif"/>
                    <w:spacing w:after="0" w:line="240" w:lineRule="auto"/>
                    <w:rPr>
                      <w:rFonts w:ascii="Times New Roman" w:hAnsi="Times New Roman" w:cs="Times New Roman"/>
                      <w:sz w:val="28"/>
                      <w:szCs w:val="28"/>
                    </w:rPr>
                  </w:pPr>
                </w:p>
              </w:tc>
            </w:tr>
          </w:tbl>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24. В случае отсутствия значений показателей в ячейках 050, 051, 052, 053, 054, 055, 056, 057, 058, 059, 060, 061, 062, 063, 064, 065, 066, 067, 068, 069, 070, 071, 072, 073, 077, 078, 079, 080, 081, 082, 083, 084, 085, 086, 087, 088, 089, 090 и 091 указывается цифра "0".</w:t>
            </w:r>
          </w:p>
          <w:p w:rsidR="009C7110" w:rsidRDefault="00696549"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w:t>
            </w:r>
          </w:p>
          <w:p w:rsidR="002F6D7F" w:rsidRDefault="002F6D7F"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26. В ячейках 068, 071, 077, 080, 083, 086 и 089 указываются:</w:t>
            </w:r>
          </w:p>
          <w:p w:rsidR="002F6D7F" w:rsidRDefault="002F6D7F"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1) выручка без учета НДС и налога с продаж, полученная от реализации:</w:t>
            </w:r>
          </w:p>
          <w:p w:rsidR="002F6D7F" w:rsidRDefault="002F6D7F"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 полезных ископаемых, за исключением металлосодержащих руд и концентратов биржевых металлов;</w:t>
            </w:r>
          </w:p>
          <w:p w:rsidR="002F6D7F" w:rsidRDefault="002F6D7F"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 продукции, полученной в результате переработки полезных ископаемых.</w:t>
            </w:r>
          </w:p>
          <w:p w:rsidR="002F6D7F" w:rsidRDefault="002F6D7F"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 xml:space="preserve">2) стоимость химически чистого металла, содержащегося в металлосодержащей руде или концентрате биржевого металла. </w:t>
            </w:r>
          </w:p>
          <w:p w:rsidR="002F6D7F" w:rsidRDefault="002F6D7F"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 xml:space="preserve">В случае, если стоимость химически чистого металла, содержащегося в металлосодержащей руде или концентрате биржевого металла, ниже выручки, полученной от реализации металлосодержащих руд и концентратов биржевых металлов, то в качестве налоговой базы роялти применяется выручка, полученная от реализации металлосодержащих руд и концентратов биржевых металлов. </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27. В ячейках 051, 054, 057, 060, 063, 066, 069, 072,  078, 081, 084, 087 и 090 указываются ставки роялти </w:t>
            </w:r>
            <w:r w:rsidRPr="00FD1E90">
              <w:rPr>
                <w:rFonts w:ascii="Times New Roman" w:hAnsi="Times New Roman" w:cs="Times New Roman"/>
                <w:sz w:val="28"/>
                <w:szCs w:val="28"/>
              </w:rPr>
              <w:lastRenderedPageBreak/>
              <w:t xml:space="preserve">согласно </w:t>
            </w:r>
            <w:r w:rsidRPr="00696549">
              <w:rPr>
                <w:rFonts w:ascii="Times New Roman" w:hAnsi="Times New Roman" w:cs="Times New Roman"/>
                <w:sz w:val="28"/>
                <w:szCs w:val="28"/>
              </w:rPr>
              <w:t>статье 310</w:t>
            </w:r>
            <w:r w:rsidRPr="00FD1E90">
              <w:rPr>
                <w:rFonts w:ascii="Times New Roman" w:hAnsi="Times New Roman" w:cs="Times New Roman"/>
                <w:sz w:val="28"/>
                <w:szCs w:val="28"/>
              </w:rPr>
              <w:t xml:space="preserve"> Налогового кодекса.</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28. В ячейке 092 указывается сумма значений ячеек 068, 071, 077, 080, 083, 086 и 089.</w:t>
            </w:r>
          </w:p>
          <w:p w:rsid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29. В ячейке 093 указывается сумма значений ячеек 052, 055, 058, 061, 064, 067, 070, 073, 079, 082, 085, 088 и 091.</w:t>
            </w:r>
          </w:p>
          <w:p w:rsidR="00EF791C" w:rsidRDefault="00EF791C" w:rsidP="00696549">
            <w:pPr>
              <w:pStyle w:val="tkTekst"/>
              <w:spacing w:after="0" w:line="240" w:lineRule="auto"/>
              <w:rPr>
                <w:rFonts w:ascii="Times New Roman" w:hAnsi="Times New Roman" w:cs="Times New Roman"/>
                <w:sz w:val="28"/>
                <w:szCs w:val="28"/>
              </w:rPr>
            </w:pPr>
          </w:p>
          <w:p w:rsidR="00696549" w:rsidRPr="00FD1E90" w:rsidRDefault="00696549"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w:t>
            </w:r>
          </w:p>
          <w:p w:rsidR="00EF791C" w:rsidRDefault="00FD1E90" w:rsidP="00EF791C">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34. </w:t>
            </w:r>
            <w:r w:rsidR="00EF791C">
              <w:rPr>
                <w:rFonts w:ascii="Times New Roman" w:hAnsi="Times New Roman" w:cs="Times New Roman"/>
                <w:sz w:val="28"/>
                <w:szCs w:val="28"/>
              </w:rPr>
              <w:t>В ячейках 068, 071, 077, 080, 083, 086 и 089 указываются:</w:t>
            </w:r>
          </w:p>
          <w:p w:rsidR="00EF791C" w:rsidRDefault="00EF791C" w:rsidP="00EF791C">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1) выручка без учета НДС и налога с продаж, полученная от реализации:</w:t>
            </w:r>
          </w:p>
          <w:p w:rsidR="00EF791C" w:rsidRDefault="00EF791C" w:rsidP="00EF791C">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 полезных ископаемых, за исключением металлосодержащих руд и концентратов биржевых металлов;</w:t>
            </w:r>
          </w:p>
          <w:p w:rsidR="00EF791C" w:rsidRDefault="00EF791C" w:rsidP="00EF791C">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 продукции, полученной в результате переработки полезных ископаемых.</w:t>
            </w:r>
          </w:p>
          <w:p w:rsidR="00EF791C" w:rsidRDefault="00EF791C" w:rsidP="00EF791C">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 xml:space="preserve">2) стоимость химически чистого металла, содержащегося в металлосодержащей руде или концентрате биржевого металла. </w:t>
            </w:r>
          </w:p>
          <w:p w:rsidR="00FD1E90" w:rsidRPr="00FD1E90" w:rsidRDefault="00EF791C" w:rsidP="00EF791C">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В случае, если стоимость химически чистого металла, содержащегося в металлосодержащей руде или концентрате биржевого металла, ниже выручки, полученной от реализации металлосодержащих руд и концентратов биржевых металлов, то в качестве налоговой базы роялти применяется выручка, полученная от реализации металлосодержащих руд и концентратов биржевых металлов:</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 в ячейке 068 указывается сумма значений ячеек </w:t>
            </w:r>
            <w:r w:rsidRPr="00FD1E90">
              <w:rPr>
                <w:rFonts w:ascii="Times New Roman" w:hAnsi="Times New Roman" w:cs="Times New Roman"/>
                <w:sz w:val="28"/>
                <w:szCs w:val="28"/>
              </w:rPr>
              <w:lastRenderedPageBreak/>
              <w:t>168, 218 и 268 приложения;</w:t>
            </w:r>
          </w:p>
          <w:p w:rsid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071 указывается сумма значений ячеек 171, 221 и 271 приложения;</w:t>
            </w:r>
          </w:p>
          <w:p w:rsidR="004F3B7A" w:rsidRDefault="004F3B7A" w:rsidP="00696549">
            <w:pPr>
              <w:pStyle w:val="tkTekst"/>
              <w:spacing w:after="0" w:line="240" w:lineRule="auto"/>
              <w:rPr>
                <w:rFonts w:ascii="Times New Roman" w:hAnsi="Times New Roman" w:cs="Times New Roman"/>
                <w:sz w:val="28"/>
                <w:szCs w:val="28"/>
              </w:rPr>
            </w:pPr>
          </w:p>
          <w:p w:rsidR="009179DA" w:rsidRDefault="009179DA" w:rsidP="00696549">
            <w:pPr>
              <w:pStyle w:val="tkTekst"/>
              <w:spacing w:after="0" w:line="240" w:lineRule="auto"/>
              <w:rPr>
                <w:rFonts w:ascii="Times New Roman" w:hAnsi="Times New Roman" w:cs="Times New Roman"/>
                <w:sz w:val="28"/>
                <w:szCs w:val="28"/>
              </w:rPr>
            </w:pP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077 указывается сумма значений ячеек 177, 227 и 277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35. В ячейках 051, 054, 057, 060, 063, 066, 069, 072,  078, 081, 084, 087 и 090 указываются ставки роялти.</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36. В ячейках 052, 055, 058, 061, 064, 067, 070, 073, 079, 082, 085, 088 и 091 указываются общая сумма роялти:</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052 - сумма значений ячеек 152, 202 и 252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055 - сумма значений ячеек 155, 205 и 255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058 - сумма значений ячеек 158, 208 и 258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061 - сумма значений ячеек 161, 211 и 261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064 - сумма значений ячеек 164, 214 и 264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067 - сумма значений ячеек 167, 217 и 267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070 - сумма значений ячеек 170, 220 и 270 приложения;</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073 - сумма значений ячеек 173, 223 и 273 приложения;</w:t>
            </w:r>
          </w:p>
          <w:p w:rsidR="009C7110" w:rsidRDefault="009C7110" w:rsidP="00696549">
            <w:pPr>
              <w:pStyle w:val="tkTekst"/>
              <w:spacing w:after="0" w:line="240" w:lineRule="auto"/>
              <w:rPr>
                <w:rFonts w:ascii="Times New Roman" w:hAnsi="Times New Roman" w:cs="Times New Roman"/>
                <w:sz w:val="28"/>
                <w:szCs w:val="28"/>
              </w:rPr>
            </w:pPr>
          </w:p>
          <w:p w:rsidR="009179DA" w:rsidRDefault="009179DA" w:rsidP="00696549">
            <w:pPr>
              <w:pStyle w:val="tkTekst"/>
              <w:spacing w:after="0" w:line="240" w:lineRule="auto"/>
              <w:rPr>
                <w:rFonts w:ascii="Times New Roman" w:hAnsi="Times New Roman" w:cs="Times New Roman"/>
                <w:sz w:val="28"/>
                <w:szCs w:val="28"/>
              </w:rPr>
            </w:pPr>
          </w:p>
          <w:p w:rsid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в ячейке 079 - сумма значений ячеек 179, 229 и 279 приложения;</w:t>
            </w:r>
          </w:p>
          <w:p w:rsidR="00696549" w:rsidRPr="00FD1E90" w:rsidRDefault="00696549" w:rsidP="00696549">
            <w:pPr>
              <w:pStyle w:val="tkTekst"/>
              <w:spacing w:after="0" w:line="240" w:lineRule="auto"/>
              <w:rPr>
                <w:rFonts w:ascii="Times New Roman" w:hAnsi="Times New Roman" w:cs="Times New Roman"/>
                <w:sz w:val="28"/>
                <w:szCs w:val="28"/>
              </w:rPr>
            </w:pPr>
            <w:r>
              <w:rPr>
                <w:rFonts w:ascii="Times New Roman" w:hAnsi="Times New Roman" w:cs="Times New Roman"/>
                <w:sz w:val="28"/>
                <w:szCs w:val="28"/>
              </w:rPr>
              <w:t>……………….</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40. В ячейках 168, 171, 177, 180, 183, 186, 189, 218, 221, 227, 230, 233, 236, 239, 268, 271, 277, 280, 283, 286 и 289 приложения указывается выручка, полученная от реализации полезных ископаемых. В случае реализации продуктов переработки полезных ископаемых в указанных ячейках отражается выручка, полученная от их реализации. Вышеуказанные данные отражаются в разрезе отчетных месяцев.</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41. </w:t>
            </w:r>
            <w:proofErr w:type="gramStart"/>
            <w:r w:rsidRPr="00FD1E90">
              <w:rPr>
                <w:rFonts w:ascii="Times New Roman" w:hAnsi="Times New Roman" w:cs="Times New Roman"/>
                <w:sz w:val="28"/>
                <w:szCs w:val="28"/>
              </w:rPr>
              <w:t>В ячейках 151, 154, 157, 160, 163, 166, 169, 172,  178, 181, 184, 187, 190, 201, 204, 207, 210, 213, 216, 219, 222, 228, 231, 234, 237, 240, 251, 254, 257, 260, 263, 266, 269, 272, 278, 281, 284, 287 и 290 приложения ука</w:t>
            </w:r>
            <w:r w:rsidR="00696549">
              <w:rPr>
                <w:rFonts w:ascii="Times New Roman" w:hAnsi="Times New Roman" w:cs="Times New Roman"/>
                <w:sz w:val="28"/>
                <w:szCs w:val="28"/>
              </w:rPr>
              <w:t xml:space="preserve">зываются ставки роялти согласно </w:t>
            </w:r>
            <w:hyperlink r:id="rId39" w:anchor="st_310" w:history="1">
              <w:r w:rsidRPr="00FD1E90">
                <w:rPr>
                  <w:rStyle w:val="a6"/>
                  <w:rFonts w:ascii="Times New Roman" w:hAnsi="Times New Roman" w:cs="Times New Roman"/>
                  <w:sz w:val="28"/>
                  <w:szCs w:val="28"/>
                </w:rPr>
                <w:t>статье 310</w:t>
              </w:r>
            </w:hyperlink>
            <w:r w:rsidRPr="00FD1E90">
              <w:rPr>
                <w:rFonts w:ascii="Times New Roman" w:hAnsi="Times New Roman" w:cs="Times New Roman"/>
                <w:sz w:val="28"/>
                <w:szCs w:val="28"/>
              </w:rPr>
              <w:t xml:space="preserve"> Налогового кодекса, в разрезе отчетных месяцев.</w:t>
            </w:r>
            <w:proofErr w:type="gramEnd"/>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42. В ячейке 192 указывается сумма значений ячеек 168, 171, 177, 180, 183, 186 и 189.</w:t>
            </w:r>
          </w:p>
          <w:p w:rsidR="00446C77" w:rsidRDefault="00446C77" w:rsidP="00696549">
            <w:pPr>
              <w:pStyle w:val="tkTekst"/>
              <w:spacing w:after="0" w:line="240" w:lineRule="auto"/>
              <w:rPr>
                <w:rFonts w:ascii="Times New Roman" w:hAnsi="Times New Roman" w:cs="Times New Roman"/>
                <w:sz w:val="28"/>
                <w:szCs w:val="28"/>
              </w:rPr>
            </w:pPr>
            <w:r w:rsidRPr="00446C77">
              <w:rPr>
                <w:rFonts w:ascii="Times New Roman" w:hAnsi="Times New Roman" w:cs="Times New Roman"/>
                <w:sz w:val="28"/>
                <w:szCs w:val="28"/>
              </w:rPr>
              <w:t xml:space="preserve">43. В ячейке 242 указывается сумма значений ячеек 218, 221, 227, 230, 233, 236 и 239. </w:t>
            </w:r>
          </w:p>
          <w:p w:rsidR="00446C77" w:rsidRDefault="00446C77" w:rsidP="00696549">
            <w:pPr>
              <w:pStyle w:val="tkTekst"/>
              <w:spacing w:after="0" w:line="240" w:lineRule="auto"/>
              <w:rPr>
                <w:rFonts w:ascii="Times New Roman" w:hAnsi="Times New Roman" w:cs="Times New Roman"/>
                <w:sz w:val="28"/>
                <w:szCs w:val="28"/>
              </w:rPr>
            </w:pPr>
            <w:r w:rsidRPr="00446C77">
              <w:rPr>
                <w:rFonts w:ascii="Times New Roman" w:hAnsi="Times New Roman" w:cs="Times New Roman"/>
                <w:sz w:val="28"/>
                <w:szCs w:val="28"/>
              </w:rPr>
              <w:t>44. В ячейке 292 указывается сумма значений ячеек 268, 271, 277, 280, 283, 286 и 289.</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45. В ячейке 193 указывается сумма значений ячеек 152, 155, 158, 161, 164, 167, 170, 173, 179, 182, 185, 188 и 191.</w:t>
            </w:r>
          </w:p>
          <w:p w:rsidR="00FD1E90" w:rsidRPr="00FD1E90" w:rsidRDefault="00FD1E90" w:rsidP="00696549">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 xml:space="preserve">46. В ячейке 243 указывается сумма значений ячеек 202, 205, 208, 211, 214, 217, 220, 223, 229, 232, 235, 238 и </w:t>
            </w:r>
            <w:r w:rsidRPr="00FD1E90">
              <w:rPr>
                <w:rFonts w:ascii="Times New Roman" w:hAnsi="Times New Roman" w:cs="Times New Roman"/>
                <w:sz w:val="28"/>
                <w:szCs w:val="28"/>
              </w:rPr>
              <w:lastRenderedPageBreak/>
              <w:t>241.</w:t>
            </w:r>
          </w:p>
          <w:p w:rsidR="00BA41CE" w:rsidRPr="00EF791C" w:rsidRDefault="00FD1E90" w:rsidP="00EF791C">
            <w:pPr>
              <w:pStyle w:val="tkTekst"/>
              <w:spacing w:after="0" w:line="240" w:lineRule="auto"/>
              <w:rPr>
                <w:rFonts w:ascii="Times New Roman" w:hAnsi="Times New Roman" w:cs="Times New Roman"/>
                <w:sz w:val="28"/>
                <w:szCs w:val="28"/>
              </w:rPr>
            </w:pPr>
            <w:r w:rsidRPr="00FD1E90">
              <w:rPr>
                <w:rFonts w:ascii="Times New Roman" w:hAnsi="Times New Roman" w:cs="Times New Roman"/>
                <w:sz w:val="28"/>
                <w:szCs w:val="28"/>
              </w:rPr>
              <w:t>47. В ячейке 293 указывается сумма значений ячеек 252, 255, 258, 261, 264, 267, 270, 273, 279, 282, 285, 288 и 291.</w:t>
            </w:r>
          </w:p>
        </w:tc>
      </w:tr>
    </w:tbl>
    <w:p w:rsidR="00E82B70" w:rsidRDefault="00C7075B" w:rsidP="00412B67">
      <w:pPr>
        <w:shd w:val="clear" w:color="auto" w:fill="FFFFFF"/>
        <w:spacing w:after="120"/>
        <w:ind w:firstLine="397"/>
        <w:jc w:val="both"/>
        <w:rPr>
          <w:b/>
          <w:sz w:val="28"/>
          <w:szCs w:val="28"/>
        </w:rPr>
      </w:pPr>
      <w:r w:rsidRPr="00FD1E90">
        <w:rPr>
          <w:rFonts w:eastAsia="Times New Roman"/>
          <w:color w:val="2B2B2B"/>
          <w:sz w:val="28"/>
          <w:szCs w:val="28"/>
        </w:rPr>
        <w:lastRenderedPageBreak/>
        <w:br/>
      </w:r>
    </w:p>
    <w:p w:rsidR="00652F6F" w:rsidRDefault="00652F6F" w:rsidP="00412B67">
      <w:pPr>
        <w:shd w:val="clear" w:color="auto" w:fill="FFFFFF"/>
        <w:spacing w:after="120"/>
        <w:ind w:firstLine="397"/>
        <w:jc w:val="both"/>
        <w:rPr>
          <w:b/>
          <w:sz w:val="28"/>
          <w:szCs w:val="28"/>
        </w:rPr>
      </w:pPr>
      <w:bookmarkStart w:id="0" w:name="_GoBack"/>
      <w:bookmarkEnd w:id="0"/>
    </w:p>
    <w:p w:rsidR="001E5F46" w:rsidRPr="00FD1E90" w:rsidRDefault="00E82B70" w:rsidP="00E82B70">
      <w:pPr>
        <w:shd w:val="clear" w:color="auto" w:fill="FFFFFF"/>
        <w:spacing w:after="120"/>
        <w:ind w:firstLine="397"/>
        <w:jc w:val="center"/>
        <w:rPr>
          <w:sz w:val="28"/>
          <w:szCs w:val="28"/>
        </w:rPr>
      </w:pPr>
      <w:r w:rsidRPr="00C378B0">
        <w:rPr>
          <w:b/>
          <w:sz w:val="28"/>
          <w:szCs w:val="28"/>
        </w:rPr>
        <w:t>Министр</w:t>
      </w:r>
      <w:r w:rsidRPr="00C378B0">
        <w:rPr>
          <w:b/>
          <w:sz w:val="28"/>
          <w:szCs w:val="28"/>
        </w:rPr>
        <w:tab/>
      </w:r>
      <w:r w:rsidRPr="00C378B0">
        <w:rPr>
          <w:b/>
          <w:sz w:val="28"/>
          <w:szCs w:val="28"/>
        </w:rPr>
        <w:tab/>
      </w:r>
      <w:r w:rsidRPr="00C378B0">
        <w:rPr>
          <w:b/>
          <w:sz w:val="28"/>
          <w:szCs w:val="28"/>
        </w:rPr>
        <w:tab/>
      </w:r>
      <w:r w:rsidRPr="00C378B0">
        <w:rPr>
          <w:b/>
          <w:sz w:val="28"/>
          <w:szCs w:val="28"/>
        </w:rPr>
        <w:tab/>
      </w:r>
      <w:r w:rsidRPr="00C378B0">
        <w:rPr>
          <w:b/>
          <w:sz w:val="28"/>
          <w:szCs w:val="28"/>
        </w:rPr>
        <w:tab/>
      </w:r>
      <w:r w:rsidRPr="00C378B0">
        <w:rPr>
          <w:b/>
          <w:sz w:val="28"/>
          <w:szCs w:val="28"/>
        </w:rPr>
        <w:tab/>
      </w:r>
      <w:r w:rsidRPr="00C378B0">
        <w:rPr>
          <w:b/>
          <w:sz w:val="28"/>
          <w:szCs w:val="28"/>
        </w:rPr>
        <w:tab/>
      </w:r>
      <w:r w:rsidRPr="00C378B0">
        <w:rPr>
          <w:b/>
          <w:sz w:val="28"/>
          <w:szCs w:val="28"/>
        </w:rPr>
        <w:tab/>
      </w:r>
      <w:proofErr w:type="spellStart"/>
      <w:r w:rsidRPr="00C378B0">
        <w:rPr>
          <w:b/>
          <w:sz w:val="28"/>
          <w:szCs w:val="28"/>
        </w:rPr>
        <w:t>С.Муканбетов</w:t>
      </w:r>
      <w:proofErr w:type="spellEnd"/>
    </w:p>
    <w:sectPr w:rsidR="001E5F46" w:rsidRPr="00FD1E90" w:rsidSect="00416ACA">
      <w:footerReference w:type="default" r:id="rId40"/>
      <w:pgSz w:w="16838" w:h="11906" w:orient="landscape"/>
      <w:pgMar w:top="850" w:right="1134" w:bottom="156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0E54" w:rsidRDefault="00970E54" w:rsidP="0064439E">
      <w:r>
        <w:separator/>
      </w:r>
    </w:p>
  </w:endnote>
  <w:endnote w:type="continuationSeparator" w:id="0">
    <w:p w:rsidR="00970E54" w:rsidRDefault="00970E54" w:rsidP="006443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439E" w:rsidRPr="00A2088C" w:rsidRDefault="00A2088C" w:rsidP="00A2088C">
    <w:pPr>
      <w:pStyle w:val="aa"/>
      <w:rPr>
        <w:sz w:val="20"/>
        <w:szCs w:val="20"/>
      </w:rPr>
    </w:pPr>
    <w:r w:rsidRPr="00A2088C">
      <w:rPr>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0E54" w:rsidRDefault="00970E54" w:rsidP="0064439E">
      <w:r>
        <w:separator/>
      </w:r>
    </w:p>
  </w:footnote>
  <w:footnote w:type="continuationSeparator" w:id="0">
    <w:p w:rsidR="00970E54" w:rsidRDefault="00970E54" w:rsidP="0064439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29EE"/>
    <w:rsid w:val="0001490D"/>
    <w:rsid w:val="000164CB"/>
    <w:rsid w:val="00082B32"/>
    <w:rsid w:val="000F1B34"/>
    <w:rsid w:val="001234F7"/>
    <w:rsid w:val="00136555"/>
    <w:rsid w:val="00173E35"/>
    <w:rsid w:val="00184A0B"/>
    <w:rsid w:val="00193715"/>
    <w:rsid w:val="001B4709"/>
    <w:rsid w:val="001E5F46"/>
    <w:rsid w:val="001F69D0"/>
    <w:rsid w:val="00223C83"/>
    <w:rsid w:val="00241B1F"/>
    <w:rsid w:val="00286ACC"/>
    <w:rsid w:val="00296CAA"/>
    <w:rsid w:val="002C1AD2"/>
    <w:rsid w:val="002D3DE6"/>
    <w:rsid w:val="002F6963"/>
    <w:rsid w:val="002F6D7F"/>
    <w:rsid w:val="003000CB"/>
    <w:rsid w:val="00304503"/>
    <w:rsid w:val="00306B45"/>
    <w:rsid w:val="00336669"/>
    <w:rsid w:val="003619B7"/>
    <w:rsid w:val="003A3ADA"/>
    <w:rsid w:val="003A77C2"/>
    <w:rsid w:val="003A78F3"/>
    <w:rsid w:val="003F3F7F"/>
    <w:rsid w:val="00412B67"/>
    <w:rsid w:val="00416ACA"/>
    <w:rsid w:val="004252C2"/>
    <w:rsid w:val="00445B22"/>
    <w:rsid w:val="00446C77"/>
    <w:rsid w:val="00451ABB"/>
    <w:rsid w:val="00461F2B"/>
    <w:rsid w:val="00462720"/>
    <w:rsid w:val="004741F3"/>
    <w:rsid w:val="004877BA"/>
    <w:rsid w:val="0049274E"/>
    <w:rsid w:val="004A6FA0"/>
    <w:rsid w:val="004F3B7A"/>
    <w:rsid w:val="005030C4"/>
    <w:rsid w:val="005068AA"/>
    <w:rsid w:val="00544B63"/>
    <w:rsid w:val="00556032"/>
    <w:rsid w:val="005760F0"/>
    <w:rsid w:val="0058295B"/>
    <w:rsid w:val="005A0F86"/>
    <w:rsid w:val="005B58DA"/>
    <w:rsid w:val="005E2D42"/>
    <w:rsid w:val="0062386A"/>
    <w:rsid w:val="00626239"/>
    <w:rsid w:val="0064190C"/>
    <w:rsid w:val="0064439E"/>
    <w:rsid w:val="00652F6F"/>
    <w:rsid w:val="006637E2"/>
    <w:rsid w:val="00696549"/>
    <w:rsid w:val="006B0CE6"/>
    <w:rsid w:val="006C0EDD"/>
    <w:rsid w:val="006C46B2"/>
    <w:rsid w:val="006E7D55"/>
    <w:rsid w:val="006F5806"/>
    <w:rsid w:val="0071620D"/>
    <w:rsid w:val="007167BC"/>
    <w:rsid w:val="00777191"/>
    <w:rsid w:val="007949AB"/>
    <w:rsid w:val="007B1DBD"/>
    <w:rsid w:val="00800D48"/>
    <w:rsid w:val="00804D3A"/>
    <w:rsid w:val="008437F2"/>
    <w:rsid w:val="00855F4B"/>
    <w:rsid w:val="008D6C5A"/>
    <w:rsid w:val="00916F3D"/>
    <w:rsid w:val="009179DA"/>
    <w:rsid w:val="009708CE"/>
    <w:rsid w:val="00970E54"/>
    <w:rsid w:val="009B4B0C"/>
    <w:rsid w:val="009C67C5"/>
    <w:rsid w:val="009C7110"/>
    <w:rsid w:val="009E168A"/>
    <w:rsid w:val="009F51DE"/>
    <w:rsid w:val="009F60A6"/>
    <w:rsid w:val="00A2088C"/>
    <w:rsid w:val="00AB0F6B"/>
    <w:rsid w:val="00B2010C"/>
    <w:rsid w:val="00B77B0C"/>
    <w:rsid w:val="00B91B5C"/>
    <w:rsid w:val="00B94B79"/>
    <w:rsid w:val="00B9603E"/>
    <w:rsid w:val="00BA41CE"/>
    <w:rsid w:val="00BB41F4"/>
    <w:rsid w:val="00BC041E"/>
    <w:rsid w:val="00BC76A8"/>
    <w:rsid w:val="00BD6EC8"/>
    <w:rsid w:val="00BF0421"/>
    <w:rsid w:val="00C25A90"/>
    <w:rsid w:val="00C41FB1"/>
    <w:rsid w:val="00C7075B"/>
    <w:rsid w:val="00C847A9"/>
    <w:rsid w:val="00C920B2"/>
    <w:rsid w:val="00C95180"/>
    <w:rsid w:val="00CB21EB"/>
    <w:rsid w:val="00CB6F51"/>
    <w:rsid w:val="00CD2338"/>
    <w:rsid w:val="00CD62A9"/>
    <w:rsid w:val="00D0607D"/>
    <w:rsid w:val="00D20DDE"/>
    <w:rsid w:val="00D329EE"/>
    <w:rsid w:val="00D55FE0"/>
    <w:rsid w:val="00D56BA5"/>
    <w:rsid w:val="00D74DB6"/>
    <w:rsid w:val="00DA616B"/>
    <w:rsid w:val="00DF4315"/>
    <w:rsid w:val="00E411C1"/>
    <w:rsid w:val="00E82B70"/>
    <w:rsid w:val="00E9308B"/>
    <w:rsid w:val="00EA1240"/>
    <w:rsid w:val="00EC33BA"/>
    <w:rsid w:val="00EE55DF"/>
    <w:rsid w:val="00EF0BA5"/>
    <w:rsid w:val="00EF791C"/>
    <w:rsid w:val="00F17AC8"/>
    <w:rsid w:val="00F45C2C"/>
    <w:rsid w:val="00F628C8"/>
    <w:rsid w:val="00F65E14"/>
    <w:rsid w:val="00F75B36"/>
    <w:rsid w:val="00F95659"/>
    <w:rsid w:val="00FB3C66"/>
    <w:rsid w:val="00FD1E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D3A"/>
    <w:pPr>
      <w:spacing w:after="0" w:line="240" w:lineRule="auto"/>
    </w:pPr>
    <w:rPr>
      <w:rFonts w:ascii="Times New Roman" w:eastAsia="Calibri"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4D3A"/>
    <w:pPr>
      <w:spacing w:after="200" w:line="276" w:lineRule="auto"/>
      <w:ind w:left="720"/>
      <w:contextualSpacing/>
    </w:pPr>
    <w:rPr>
      <w:rFonts w:ascii="Calibri" w:hAnsi="Calibri"/>
      <w:sz w:val="22"/>
      <w:szCs w:val="22"/>
      <w:lang w:eastAsia="en-US"/>
    </w:rPr>
  </w:style>
  <w:style w:type="paragraph" w:customStyle="1" w:styleId="tkTekst">
    <w:name w:val="_Текст обычный (tkTekst)"/>
    <w:basedOn w:val="a"/>
    <w:rsid w:val="00804D3A"/>
    <w:pPr>
      <w:spacing w:after="60" w:line="276" w:lineRule="auto"/>
      <w:ind w:firstLine="567"/>
      <w:jc w:val="both"/>
    </w:pPr>
    <w:rPr>
      <w:rFonts w:ascii="Arial" w:eastAsia="Times New Roman" w:hAnsi="Arial" w:cs="Arial"/>
      <w:sz w:val="20"/>
      <w:szCs w:val="20"/>
    </w:rPr>
  </w:style>
  <w:style w:type="paragraph" w:styleId="a4">
    <w:name w:val="Balloon Text"/>
    <w:basedOn w:val="a"/>
    <w:link w:val="a5"/>
    <w:uiPriority w:val="99"/>
    <w:semiHidden/>
    <w:unhideWhenUsed/>
    <w:rsid w:val="006B0CE6"/>
    <w:rPr>
      <w:rFonts w:ascii="Segoe UI" w:hAnsi="Segoe UI" w:cs="Segoe UI"/>
      <w:sz w:val="18"/>
      <w:szCs w:val="18"/>
    </w:rPr>
  </w:style>
  <w:style w:type="character" w:customStyle="1" w:styleId="a5">
    <w:name w:val="Текст выноски Знак"/>
    <w:basedOn w:val="a0"/>
    <w:link w:val="a4"/>
    <w:uiPriority w:val="99"/>
    <w:semiHidden/>
    <w:rsid w:val="006B0CE6"/>
    <w:rPr>
      <w:rFonts w:ascii="Segoe UI" w:eastAsia="Calibri" w:hAnsi="Segoe UI" w:cs="Segoe UI"/>
      <w:sz w:val="18"/>
      <w:szCs w:val="18"/>
      <w:lang w:eastAsia="ru-RU"/>
    </w:rPr>
  </w:style>
  <w:style w:type="character" w:styleId="a6">
    <w:name w:val="Hyperlink"/>
    <w:basedOn w:val="a0"/>
    <w:uiPriority w:val="99"/>
    <w:unhideWhenUsed/>
    <w:rsid w:val="00DA616B"/>
    <w:rPr>
      <w:color w:val="0000FF"/>
      <w:u w:val="single"/>
    </w:rPr>
  </w:style>
  <w:style w:type="paragraph" w:customStyle="1" w:styleId="tkZagolovok5">
    <w:name w:val="_Заголовок Статья (tkZagolovok5)"/>
    <w:basedOn w:val="a"/>
    <w:rsid w:val="00DA616B"/>
    <w:pPr>
      <w:spacing w:before="200" w:after="60" w:line="276" w:lineRule="auto"/>
      <w:ind w:firstLine="567"/>
    </w:pPr>
    <w:rPr>
      <w:rFonts w:ascii="Arial" w:eastAsia="Times New Roman" w:hAnsi="Arial" w:cs="Arial"/>
      <w:b/>
      <w:bCs/>
      <w:sz w:val="20"/>
      <w:szCs w:val="20"/>
    </w:rPr>
  </w:style>
  <w:style w:type="paragraph" w:customStyle="1" w:styleId="tkKomentarij">
    <w:name w:val="_Комментарий (tkKomentarij)"/>
    <w:basedOn w:val="a"/>
    <w:rsid w:val="002D3DE6"/>
    <w:pPr>
      <w:spacing w:after="60" w:line="276" w:lineRule="auto"/>
      <w:ind w:firstLine="567"/>
      <w:jc w:val="both"/>
    </w:pPr>
    <w:rPr>
      <w:rFonts w:ascii="Arial" w:eastAsia="Times New Roman" w:hAnsi="Arial" w:cs="Arial"/>
      <w:i/>
      <w:iCs/>
      <w:color w:val="006600"/>
      <w:sz w:val="20"/>
      <w:szCs w:val="20"/>
    </w:rPr>
  </w:style>
  <w:style w:type="paragraph" w:customStyle="1" w:styleId="tkNazvanie">
    <w:name w:val="_Название (tkNazvanie)"/>
    <w:basedOn w:val="a"/>
    <w:rsid w:val="006E7D55"/>
    <w:pPr>
      <w:spacing w:before="400" w:after="400" w:line="276" w:lineRule="auto"/>
      <w:ind w:left="1134" w:right="1134"/>
      <w:jc w:val="center"/>
    </w:pPr>
    <w:rPr>
      <w:rFonts w:ascii="Arial" w:eastAsia="Times New Roman" w:hAnsi="Arial" w:cs="Arial"/>
      <w:b/>
      <w:bCs/>
    </w:rPr>
  </w:style>
  <w:style w:type="table" w:styleId="a7">
    <w:name w:val="Table Grid"/>
    <w:basedOn w:val="a1"/>
    <w:uiPriority w:val="59"/>
    <w:rsid w:val="00184A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unhideWhenUsed/>
    <w:rsid w:val="0064439E"/>
    <w:pPr>
      <w:tabs>
        <w:tab w:val="center" w:pos="4677"/>
        <w:tab w:val="right" w:pos="9355"/>
      </w:tabs>
    </w:pPr>
  </w:style>
  <w:style w:type="character" w:customStyle="1" w:styleId="a9">
    <w:name w:val="Верхний колонтитул Знак"/>
    <w:basedOn w:val="a0"/>
    <w:link w:val="a8"/>
    <w:uiPriority w:val="99"/>
    <w:rsid w:val="0064439E"/>
    <w:rPr>
      <w:rFonts w:ascii="Times New Roman" w:eastAsia="Calibri" w:hAnsi="Times New Roman" w:cs="Times New Roman"/>
      <w:sz w:val="24"/>
      <w:szCs w:val="24"/>
      <w:lang w:eastAsia="ru-RU"/>
    </w:rPr>
  </w:style>
  <w:style w:type="paragraph" w:styleId="aa">
    <w:name w:val="footer"/>
    <w:basedOn w:val="a"/>
    <w:link w:val="ab"/>
    <w:uiPriority w:val="99"/>
    <w:unhideWhenUsed/>
    <w:rsid w:val="0064439E"/>
    <w:pPr>
      <w:tabs>
        <w:tab w:val="center" w:pos="4677"/>
        <w:tab w:val="right" w:pos="9355"/>
      </w:tabs>
    </w:pPr>
  </w:style>
  <w:style w:type="character" w:customStyle="1" w:styleId="ab">
    <w:name w:val="Нижний колонтитул Знак"/>
    <w:basedOn w:val="a0"/>
    <w:link w:val="aa"/>
    <w:uiPriority w:val="99"/>
    <w:rsid w:val="0064439E"/>
    <w:rPr>
      <w:rFonts w:ascii="Times New Roman" w:eastAsia="Calibri" w:hAnsi="Times New Roman" w:cs="Times New Roman"/>
      <w:sz w:val="24"/>
      <w:szCs w:val="24"/>
      <w:lang w:eastAsia="ru-RU"/>
    </w:rPr>
  </w:style>
  <w:style w:type="paragraph" w:customStyle="1" w:styleId="tkTablica">
    <w:name w:val="_Текст таблицы (tkTablica)"/>
    <w:basedOn w:val="a"/>
    <w:rsid w:val="005030C4"/>
    <w:pPr>
      <w:spacing w:after="60" w:line="276" w:lineRule="auto"/>
      <w:jc w:val="both"/>
    </w:pPr>
    <w:rPr>
      <w:rFonts w:ascii="Arial" w:eastAsia="Times New Roman" w:hAnsi="Arial" w:cs="Arial"/>
      <w:sz w:val="20"/>
      <w:szCs w:val="20"/>
    </w:rPr>
  </w:style>
  <w:style w:type="paragraph" w:customStyle="1" w:styleId="tkRekvizit">
    <w:name w:val="_Реквизит (tkRekvizit)"/>
    <w:basedOn w:val="a"/>
    <w:rsid w:val="00BD6EC8"/>
    <w:pPr>
      <w:spacing w:before="200" w:after="200" w:line="276" w:lineRule="auto"/>
      <w:jc w:val="center"/>
    </w:pPr>
    <w:rPr>
      <w:rFonts w:ascii="Arial" w:eastAsia="Times New Roman" w:hAnsi="Arial" w:cs="Arial"/>
      <w:i/>
      <w:iCs/>
      <w:sz w:val="20"/>
      <w:szCs w:val="20"/>
    </w:rPr>
  </w:style>
  <w:style w:type="paragraph" w:customStyle="1" w:styleId="tkForma">
    <w:name w:val="_Форма (tkForma)"/>
    <w:basedOn w:val="a"/>
    <w:rsid w:val="00BD6EC8"/>
    <w:pPr>
      <w:spacing w:after="200" w:line="276" w:lineRule="auto"/>
      <w:ind w:left="1134" w:right="1134"/>
      <w:jc w:val="center"/>
    </w:pPr>
    <w:rPr>
      <w:rFonts w:ascii="Arial" w:eastAsia="Times New Roman" w:hAnsi="Arial" w:cs="Arial"/>
      <w:b/>
      <w:bCs/>
      <w:caps/>
    </w:rPr>
  </w:style>
  <w:style w:type="paragraph" w:customStyle="1" w:styleId="tkRedakcijaSpisok">
    <w:name w:val="_В редакции список (tkRedakcijaSpisok)"/>
    <w:basedOn w:val="a"/>
    <w:rsid w:val="00FD1E90"/>
    <w:pPr>
      <w:spacing w:after="200" w:line="276" w:lineRule="auto"/>
      <w:ind w:left="1134" w:right="1134"/>
      <w:jc w:val="center"/>
    </w:pPr>
    <w:rPr>
      <w:rFonts w:ascii="Arial" w:eastAsia="Times New Roman" w:hAnsi="Arial" w:cs="Arial"/>
      <w:i/>
      <w:iCs/>
      <w:sz w:val="20"/>
      <w:szCs w:val="20"/>
    </w:rPr>
  </w:style>
  <w:style w:type="paragraph" w:customStyle="1" w:styleId="tkGrif">
    <w:name w:val="_Гриф (tkGrif)"/>
    <w:basedOn w:val="a"/>
    <w:rsid w:val="00FD1E90"/>
    <w:pPr>
      <w:spacing w:after="60" w:line="276" w:lineRule="auto"/>
      <w:jc w:val="center"/>
    </w:pPr>
    <w:rPr>
      <w:rFonts w:ascii="Arial" w:eastAsia="Times New Roman" w:hAnsi="Arial" w:cs="Arial"/>
      <w:sz w:val="20"/>
      <w:szCs w:val="20"/>
    </w:rPr>
  </w:style>
  <w:style w:type="paragraph" w:customStyle="1" w:styleId="tkZagolovok2">
    <w:name w:val="_Заголовок Раздел (tkZagolovok2)"/>
    <w:basedOn w:val="a"/>
    <w:rsid w:val="00FD1E90"/>
    <w:pPr>
      <w:spacing w:before="200" w:after="200" w:line="276" w:lineRule="auto"/>
      <w:ind w:left="1134" w:right="1134"/>
      <w:jc w:val="center"/>
    </w:pPr>
    <w:rPr>
      <w:rFonts w:ascii="Arial" w:eastAsia="Times New Roman" w:hAnsi="Arial" w:cs="Arial"/>
      <w:b/>
      <w:bCs/>
    </w:rPr>
  </w:style>
  <w:style w:type="paragraph" w:customStyle="1" w:styleId="tkPodpis">
    <w:name w:val="_Подпись (tkPodpis)"/>
    <w:basedOn w:val="a"/>
    <w:rsid w:val="00EF791C"/>
    <w:pPr>
      <w:spacing w:after="60" w:line="276" w:lineRule="auto"/>
    </w:pPr>
    <w:rPr>
      <w:rFonts w:ascii="Arial" w:eastAsia="Times New Roman" w:hAnsi="Arial" w:cs="Arial"/>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D3A"/>
    <w:pPr>
      <w:spacing w:after="0" w:line="240" w:lineRule="auto"/>
    </w:pPr>
    <w:rPr>
      <w:rFonts w:ascii="Times New Roman" w:eastAsia="Calibri"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4D3A"/>
    <w:pPr>
      <w:spacing w:after="200" w:line="276" w:lineRule="auto"/>
      <w:ind w:left="720"/>
      <w:contextualSpacing/>
    </w:pPr>
    <w:rPr>
      <w:rFonts w:ascii="Calibri" w:hAnsi="Calibri"/>
      <w:sz w:val="22"/>
      <w:szCs w:val="22"/>
      <w:lang w:eastAsia="en-US"/>
    </w:rPr>
  </w:style>
  <w:style w:type="paragraph" w:customStyle="1" w:styleId="tkTekst">
    <w:name w:val="_Текст обычный (tkTekst)"/>
    <w:basedOn w:val="a"/>
    <w:rsid w:val="00804D3A"/>
    <w:pPr>
      <w:spacing w:after="60" w:line="276" w:lineRule="auto"/>
      <w:ind w:firstLine="567"/>
      <w:jc w:val="both"/>
    </w:pPr>
    <w:rPr>
      <w:rFonts w:ascii="Arial" w:eastAsia="Times New Roman" w:hAnsi="Arial" w:cs="Arial"/>
      <w:sz w:val="20"/>
      <w:szCs w:val="20"/>
    </w:rPr>
  </w:style>
  <w:style w:type="paragraph" w:styleId="a4">
    <w:name w:val="Balloon Text"/>
    <w:basedOn w:val="a"/>
    <w:link w:val="a5"/>
    <w:uiPriority w:val="99"/>
    <w:semiHidden/>
    <w:unhideWhenUsed/>
    <w:rsid w:val="006B0CE6"/>
    <w:rPr>
      <w:rFonts w:ascii="Segoe UI" w:hAnsi="Segoe UI" w:cs="Segoe UI"/>
      <w:sz w:val="18"/>
      <w:szCs w:val="18"/>
    </w:rPr>
  </w:style>
  <w:style w:type="character" w:customStyle="1" w:styleId="a5">
    <w:name w:val="Текст выноски Знак"/>
    <w:basedOn w:val="a0"/>
    <w:link w:val="a4"/>
    <w:uiPriority w:val="99"/>
    <w:semiHidden/>
    <w:rsid w:val="006B0CE6"/>
    <w:rPr>
      <w:rFonts w:ascii="Segoe UI" w:eastAsia="Calibri" w:hAnsi="Segoe UI" w:cs="Segoe UI"/>
      <w:sz w:val="18"/>
      <w:szCs w:val="18"/>
      <w:lang w:eastAsia="ru-RU"/>
    </w:rPr>
  </w:style>
  <w:style w:type="character" w:styleId="a6">
    <w:name w:val="Hyperlink"/>
    <w:basedOn w:val="a0"/>
    <w:uiPriority w:val="99"/>
    <w:unhideWhenUsed/>
    <w:rsid w:val="00DA616B"/>
    <w:rPr>
      <w:color w:val="0000FF"/>
      <w:u w:val="single"/>
    </w:rPr>
  </w:style>
  <w:style w:type="paragraph" w:customStyle="1" w:styleId="tkZagolovok5">
    <w:name w:val="_Заголовок Статья (tkZagolovok5)"/>
    <w:basedOn w:val="a"/>
    <w:rsid w:val="00DA616B"/>
    <w:pPr>
      <w:spacing w:before="200" w:after="60" w:line="276" w:lineRule="auto"/>
      <w:ind w:firstLine="567"/>
    </w:pPr>
    <w:rPr>
      <w:rFonts w:ascii="Arial" w:eastAsia="Times New Roman" w:hAnsi="Arial" w:cs="Arial"/>
      <w:b/>
      <w:bCs/>
      <w:sz w:val="20"/>
      <w:szCs w:val="20"/>
    </w:rPr>
  </w:style>
  <w:style w:type="paragraph" w:customStyle="1" w:styleId="tkKomentarij">
    <w:name w:val="_Комментарий (tkKomentarij)"/>
    <w:basedOn w:val="a"/>
    <w:rsid w:val="002D3DE6"/>
    <w:pPr>
      <w:spacing w:after="60" w:line="276" w:lineRule="auto"/>
      <w:ind w:firstLine="567"/>
      <w:jc w:val="both"/>
    </w:pPr>
    <w:rPr>
      <w:rFonts w:ascii="Arial" w:eastAsia="Times New Roman" w:hAnsi="Arial" w:cs="Arial"/>
      <w:i/>
      <w:iCs/>
      <w:color w:val="006600"/>
      <w:sz w:val="20"/>
      <w:szCs w:val="20"/>
    </w:rPr>
  </w:style>
  <w:style w:type="paragraph" w:customStyle="1" w:styleId="tkNazvanie">
    <w:name w:val="_Название (tkNazvanie)"/>
    <w:basedOn w:val="a"/>
    <w:rsid w:val="006E7D55"/>
    <w:pPr>
      <w:spacing w:before="400" w:after="400" w:line="276" w:lineRule="auto"/>
      <w:ind w:left="1134" w:right="1134"/>
      <w:jc w:val="center"/>
    </w:pPr>
    <w:rPr>
      <w:rFonts w:ascii="Arial" w:eastAsia="Times New Roman" w:hAnsi="Arial" w:cs="Arial"/>
      <w:b/>
      <w:bCs/>
    </w:rPr>
  </w:style>
  <w:style w:type="table" w:styleId="a7">
    <w:name w:val="Table Grid"/>
    <w:basedOn w:val="a1"/>
    <w:uiPriority w:val="59"/>
    <w:rsid w:val="00184A0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unhideWhenUsed/>
    <w:rsid w:val="0064439E"/>
    <w:pPr>
      <w:tabs>
        <w:tab w:val="center" w:pos="4677"/>
        <w:tab w:val="right" w:pos="9355"/>
      </w:tabs>
    </w:pPr>
  </w:style>
  <w:style w:type="character" w:customStyle="1" w:styleId="a9">
    <w:name w:val="Верхний колонтитул Знак"/>
    <w:basedOn w:val="a0"/>
    <w:link w:val="a8"/>
    <w:uiPriority w:val="99"/>
    <w:rsid w:val="0064439E"/>
    <w:rPr>
      <w:rFonts w:ascii="Times New Roman" w:eastAsia="Calibri" w:hAnsi="Times New Roman" w:cs="Times New Roman"/>
      <w:sz w:val="24"/>
      <w:szCs w:val="24"/>
      <w:lang w:eastAsia="ru-RU"/>
    </w:rPr>
  </w:style>
  <w:style w:type="paragraph" w:styleId="aa">
    <w:name w:val="footer"/>
    <w:basedOn w:val="a"/>
    <w:link w:val="ab"/>
    <w:uiPriority w:val="99"/>
    <w:unhideWhenUsed/>
    <w:rsid w:val="0064439E"/>
    <w:pPr>
      <w:tabs>
        <w:tab w:val="center" w:pos="4677"/>
        <w:tab w:val="right" w:pos="9355"/>
      </w:tabs>
    </w:pPr>
  </w:style>
  <w:style w:type="character" w:customStyle="1" w:styleId="ab">
    <w:name w:val="Нижний колонтитул Знак"/>
    <w:basedOn w:val="a0"/>
    <w:link w:val="aa"/>
    <w:uiPriority w:val="99"/>
    <w:rsid w:val="0064439E"/>
    <w:rPr>
      <w:rFonts w:ascii="Times New Roman" w:eastAsia="Calibri" w:hAnsi="Times New Roman" w:cs="Times New Roman"/>
      <w:sz w:val="24"/>
      <w:szCs w:val="24"/>
      <w:lang w:eastAsia="ru-RU"/>
    </w:rPr>
  </w:style>
  <w:style w:type="paragraph" w:customStyle="1" w:styleId="tkTablica">
    <w:name w:val="_Текст таблицы (tkTablica)"/>
    <w:basedOn w:val="a"/>
    <w:rsid w:val="005030C4"/>
    <w:pPr>
      <w:spacing w:after="60" w:line="276" w:lineRule="auto"/>
      <w:jc w:val="both"/>
    </w:pPr>
    <w:rPr>
      <w:rFonts w:ascii="Arial" w:eastAsia="Times New Roman" w:hAnsi="Arial" w:cs="Arial"/>
      <w:sz w:val="20"/>
      <w:szCs w:val="20"/>
    </w:rPr>
  </w:style>
  <w:style w:type="paragraph" w:customStyle="1" w:styleId="tkRekvizit">
    <w:name w:val="_Реквизит (tkRekvizit)"/>
    <w:basedOn w:val="a"/>
    <w:rsid w:val="00BD6EC8"/>
    <w:pPr>
      <w:spacing w:before="200" w:after="200" w:line="276" w:lineRule="auto"/>
      <w:jc w:val="center"/>
    </w:pPr>
    <w:rPr>
      <w:rFonts w:ascii="Arial" w:eastAsia="Times New Roman" w:hAnsi="Arial" w:cs="Arial"/>
      <w:i/>
      <w:iCs/>
      <w:sz w:val="20"/>
      <w:szCs w:val="20"/>
    </w:rPr>
  </w:style>
  <w:style w:type="paragraph" w:customStyle="1" w:styleId="tkForma">
    <w:name w:val="_Форма (tkForma)"/>
    <w:basedOn w:val="a"/>
    <w:rsid w:val="00BD6EC8"/>
    <w:pPr>
      <w:spacing w:after="200" w:line="276" w:lineRule="auto"/>
      <w:ind w:left="1134" w:right="1134"/>
      <w:jc w:val="center"/>
    </w:pPr>
    <w:rPr>
      <w:rFonts w:ascii="Arial" w:eastAsia="Times New Roman" w:hAnsi="Arial" w:cs="Arial"/>
      <w:b/>
      <w:bCs/>
      <w:caps/>
    </w:rPr>
  </w:style>
  <w:style w:type="paragraph" w:customStyle="1" w:styleId="tkRedakcijaSpisok">
    <w:name w:val="_В редакции список (tkRedakcijaSpisok)"/>
    <w:basedOn w:val="a"/>
    <w:rsid w:val="00FD1E90"/>
    <w:pPr>
      <w:spacing w:after="200" w:line="276" w:lineRule="auto"/>
      <w:ind w:left="1134" w:right="1134"/>
      <w:jc w:val="center"/>
    </w:pPr>
    <w:rPr>
      <w:rFonts w:ascii="Arial" w:eastAsia="Times New Roman" w:hAnsi="Arial" w:cs="Arial"/>
      <w:i/>
      <w:iCs/>
      <w:sz w:val="20"/>
      <w:szCs w:val="20"/>
    </w:rPr>
  </w:style>
  <w:style w:type="paragraph" w:customStyle="1" w:styleId="tkGrif">
    <w:name w:val="_Гриф (tkGrif)"/>
    <w:basedOn w:val="a"/>
    <w:rsid w:val="00FD1E90"/>
    <w:pPr>
      <w:spacing w:after="60" w:line="276" w:lineRule="auto"/>
      <w:jc w:val="center"/>
    </w:pPr>
    <w:rPr>
      <w:rFonts w:ascii="Arial" w:eastAsia="Times New Roman" w:hAnsi="Arial" w:cs="Arial"/>
      <w:sz w:val="20"/>
      <w:szCs w:val="20"/>
    </w:rPr>
  </w:style>
  <w:style w:type="paragraph" w:customStyle="1" w:styleId="tkZagolovok2">
    <w:name w:val="_Заголовок Раздел (tkZagolovok2)"/>
    <w:basedOn w:val="a"/>
    <w:rsid w:val="00FD1E90"/>
    <w:pPr>
      <w:spacing w:before="200" w:after="200" w:line="276" w:lineRule="auto"/>
      <w:ind w:left="1134" w:right="1134"/>
      <w:jc w:val="center"/>
    </w:pPr>
    <w:rPr>
      <w:rFonts w:ascii="Arial" w:eastAsia="Times New Roman" w:hAnsi="Arial" w:cs="Arial"/>
      <w:b/>
      <w:bCs/>
    </w:rPr>
  </w:style>
  <w:style w:type="paragraph" w:customStyle="1" w:styleId="tkPodpis">
    <w:name w:val="_Подпись (tkPodpis)"/>
    <w:basedOn w:val="a"/>
    <w:rsid w:val="00EF791C"/>
    <w:pPr>
      <w:spacing w:after="60" w:line="276" w:lineRule="auto"/>
    </w:pPr>
    <w:rPr>
      <w:rFonts w:ascii="Arial" w:eastAsia="Times New Roman"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0688">
      <w:bodyDiv w:val="1"/>
      <w:marLeft w:val="0"/>
      <w:marRight w:val="0"/>
      <w:marTop w:val="0"/>
      <w:marBottom w:val="0"/>
      <w:divBdr>
        <w:top w:val="none" w:sz="0" w:space="0" w:color="auto"/>
        <w:left w:val="none" w:sz="0" w:space="0" w:color="auto"/>
        <w:bottom w:val="none" w:sz="0" w:space="0" w:color="auto"/>
        <w:right w:val="none" w:sz="0" w:space="0" w:color="auto"/>
      </w:divBdr>
    </w:div>
    <w:div w:id="20594690">
      <w:bodyDiv w:val="1"/>
      <w:marLeft w:val="0"/>
      <w:marRight w:val="0"/>
      <w:marTop w:val="0"/>
      <w:marBottom w:val="0"/>
      <w:divBdr>
        <w:top w:val="none" w:sz="0" w:space="0" w:color="auto"/>
        <w:left w:val="none" w:sz="0" w:space="0" w:color="auto"/>
        <w:bottom w:val="none" w:sz="0" w:space="0" w:color="auto"/>
        <w:right w:val="none" w:sz="0" w:space="0" w:color="auto"/>
      </w:divBdr>
    </w:div>
    <w:div w:id="159663705">
      <w:bodyDiv w:val="1"/>
      <w:marLeft w:val="0"/>
      <w:marRight w:val="0"/>
      <w:marTop w:val="0"/>
      <w:marBottom w:val="0"/>
      <w:divBdr>
        <w:top w:val="none" w:sz="0" w:space="0" w:color="auto"/>
        <w:left w:val="none" w:sz="0" w:space="0" w:color="auto"/>
        <w:bottom w:val="none" w:sz="0" w:space="0" w:color="auto"/>
        <w:right w:val="none" w:sz="0" w:space="0" w:color="auto"/>
      </w:divBdr>
    </w:div>
    <w:div w:id="253057551">
      <w:bodyDiv w:val="1"/>
      <w:marLeft w:val="0"/>
      <w:marRight w:val="0"/>
      <w:marTop w:val="0"/>
      <w:marBottom w:val="0"/>
      <w:divBdr>
        <w:top w:val="none" w:sz="0" w:space="0" w:color="auto"/>
        <w:left w:val="none" w:sz="0" w:space="0" w:color="auto"/>
        <w:bottom w:val="none" w:sz="0" w:space="0" w:color="auto"/>
        <w:right w:val="none" w:sz="0" w:space="0" w:color="auto"/>
      </w:divBdr>
    </w:div>
    <w:div w:id="258803710">
      <w:bodyDiv w:val="1"/>
      <w:marLeft w:val="0"/>
      <w:marRight w:val="0"/>
      <w:marTop w:val="0"/>
      <w:marBottom w:val="0"/>
      <w:divBdr>
        <w:top w:val="none" w:sz="0" w:space="0" w:color="auto"/>
        <w:left w:val="none" w:sz="0" w:space="0" w:color="auto"/>
        <w:bottom w:val="none" w:sz="0" w:space="0" w:color="auto"/>
        <w:right w:val="none" w:sz="0" w:space="0" w:color="auto"/>
      </w:divBdr>
    </w:div>
    <w:div w:id="285938216">
      <w:bodyDiv w:val="1"/>
      <w:marLeft w:val="0"/>
      <w:marRight w:val="0"/>
      <w:marTop w:val="0"/>
      <w:marBottom w:val="0"/>
      <w:divBdr>
        <w:top w:val="none" w:sz="0" w:space="0" w:color="auto"/>
        <w:left w:val="none" w:sz="0" w:space="0" w:color="auto"/>
        <w:bottom w:val="none" w:sz="0" w:space="0" w:color="auto"/>
        <w:right w:val="none" w:sz="0" w:space="0" w:color="auto"/>
      </w:divBdr>
    </w:div>
    <w:div w:id="334260592">
      <w:bodyDiv w:val="1"/>
      <w:marLeft w:val="0"/>
      <w:marRight w:val="0"/>
      <w:marTop w:val="0"/>
      <w:marBottom w:val="0"/>
      <w:divBdr>
        <w:top w:val="none" w:sz="0" w:space="0" w:color="auto"/>
        <w:left w:val="none" w:sz="0" w:space="0" w:color="auto"/>
        <w:bottom w:val="none" w:sz="0" w:space="0" w:color="auto"/>
        <w:right w:val="none" w:sz="0" w:space="0" w:color="auto"/>
      </w:divBdr>
    </w:div>
    <w:div w:id="375394883">
      <w:bodyDiv w:val="1"/>
      <w:marLeft w:val="0"/>
      <w:marRight w:val="0"/>
      <w:marTop w:val="0"/>
      <w:marBottom w:val="0"/>
      <w:divBdr>
        <w:top w:val="none" w:sz="0" w:space="0" w:color="auto"/>
        <w:left w:val="none" w:sz="0" w:space="0" w:color="auto"/>
        <w:bottom w:val="none" w:sz="0" w:space="0" w:color="auto"/>
        <w:right w:val="none" w:sz="0" w:space="0" w:color="auto"/>
      </w:divBdr>
    </w:div>
    <w:div w:id="428085827">
      <w:bodyDiv w:val="1"/>
      <w:marLeft w:val="0"/>
      <w:marRight w:val="0"/>
      <w:marTop w:val="0"/>
      <w:marBottom w:val="0"/>
      <w:divBdr>
        <w:top w:val="none" w:sz="0" w:space="0" w:color="auto"/>
        <w:left w:val="none" w:sz="0" w:space="0" w:color="auto"/>
        <w:bottom w:val="none" w:sz="0" w:space="0" w:color="auto"/>
        <w:right w:val="none" w:sz="0" w:space="0" w:color="auto"/>
      </w:divBdr>
    </w:div>
    <w:div w:id="437871972">
      <w:bodyDiv w:val="1"/>
      <w:marLeft w:val="0"/>
      <w:marRight w:val="0"/>
      <w:marTop w:val="0"/>
      <w:marBottom w:val="0"/>
      <w:divBdr>
        <w:top w:val="none" w:sz="0" w:space="0" w:color="auto"/>
        <w:left w:val="none" w:sz="0" w:space="0" w:color="auto"/>
        <w:bottom w:val="none" w:sz="0" w:space="0" w:color="auto"/>
        <w:right w:val="none" w:sz="0" w:space="0" w:color="auto"/>
      </w:divBdr>
    </w:div>
    <w:div w:id="493179822">
      <w:bodyDiv w:val="1"/>
      <w:marLeft w:val="0"/>
      <w:marRight w:val="0"/>
      <w:marTop w:val="0"/>
      <w:marBottom w:val="0"/>
      <w:divBdr>
        <w:top w:val="none" w:sz="0" w:space="0" w:color="auto"/>
        <w:left w:val="none" w:sz="0" w:space="0" w:color="auto"/>
        <w:bottom w:val="none" w:sz="0" w:space="0" w:color="auto"/>
        <w:right w:val="none" w:sz="0" w:space="0" w:color="auto"/>
      </w:divBdr>
    </w:div>
    <w:div w:id="527527532">
      <w:bodyDiv w:val="1"/>
      <w:marLeft w:val="0"/>
      <w:marRight w:val="0"/>
      <w:marTop w:val="0"/>
      <w:marBottom w:val="0"/>
      <w:divBdr>
        <w:top w:val="none" w:sz="0" w:space="0" w:color="auto"/>
        <w:left w:val="none" w:sz="0" w:space="0" w:color="auto"/>
        <w:bottom w:val="none" w:sz="0" w:space="0" w:color="auto"/>
        <w:right w:val="none" w:sz="0" w:space="0" w:color="auto"/>
      </w:divBdr>
    </w:div>
    <w:div w:id="545991406">
      <w:bodyDiv w:val="1"/>
      <w:marLeft w:val="0"/>
      <w:marRight w:val="0"/>
      <w:marTop w:val="0"/>
      <w:marBottom w:val="0"/>
      <w:divBdr>
        <w:top w:val="none" w:sz="0" w:space="0" w:color="auto"/>
        <w:left w:val="none" w:sz="0" w:space="0" w:color="auto"/>
        <w:bottom w:val="none" w:sz="0" w:space="0" w:color="auto"/>
        <w:right w:val="none" w:sz="0" w:space="0" w:color="auto"/>
      </w:divBdr>
    </w:div>
    <w:div w:id="551230103">
      <w:bodyDiv w:val="1"/>
      <w:marLeft w:val="0"/>
      <w:marRight w:val="0"/>
      <w:marTop w:val="0"/>
      <w:marBottom w:val="0"/>
      <w:divBdr>
        <w:top w:val="none" w:sz="0" w:space="0" w:color="auto"/>
        <w:left w:val="none" w:sz="0" w:space="0" w:color="auto"/>
        <w:bottom w:val="none" w:sz="0" w:space="0" w:color="auto"/>
        <w:right w:val="none" w:sz="0" w:space="0" w:color="auto"/>
      </w:divBdr>
    </w:div>
    <w:div w:id="567301159">
      <w:bodyDiv w:val="1"/>
      <w:marLeft w:val="0"/>
      <w:marRight w:val="0"/>
      <w:marTop w:val="0"/>
      <w:marBottom w:val="0"/>
      <w:divBdr>
        <w:top w:val="none" w:sz="0" w:space="0" w:color="auto"/>
        <w:left w:val="none" w:sz="0" w:space="0" w:color="auto"/>
        <w:bottom w:val="none" w:sz="0" w:space="0" w:color="auto"/>
        <w:right w:val="none" w:sz="0" w:space="0" w:color="auto"/>
      </w:divBdr>
    </w:div>
    <w:div w:id="624434235">
      <w:bodyDiv w:val="1"/>
      <w:marLeft w:val="0"/>
      <w:marRight w:val="0"/>
      <w:marTop w:val="0"/>
      <w:marBottom w:val="0"/>
      <w:divBdr>
        <w:top w:val="none" w:sz="0" w:space="0" w:color="auto"/>
        <w:left w:val="none" w:sz="0" w:space="0" w:color="auto"/>
        <w:bottom w:val="none" w:sz="0" w:space="0" w:color="auto"/>
        <w:right w:val="none" w:sz="0" w:space="0" w:color="auto"/>
      </w:divBdr>
    </w:div>
    <w:div w:id="755638910">
      <w:bodyDiv w:val="1"/>
      <w:marLeft w:val="0"/>
      <w:marRight w:val="0"/>
      <w:marTop w:val="0"/>
      <w:marBottom w:val="0"/>
      <w:divBdr>
        <w:top w:val="none" w:sz="0" w:space="0" w:color="auto"/>
        <w:left w:val="none" w:sz="0" w:space="0" w:color="auto"/>
        <w:bottom w:val="none" w:sz="0" w:space="0" w:color="auto"/>
        <w:right w:val="none" w:sz="0" w:space="0" w:color="auto"/>
      </w:divBdr>
    </w:div>
    <w:div w:id="761951487">
      <w:bodyDiv w:val="1"/>
      <w:marLeft w:val="0"/>
      <w:marRight w:val="0"/>
      <w:marTop w:val="0"/>
      <w:marBottom w:val="0"/>
      <w:divBdr>
        <w:top w:val="none" w:sz="0" w:space="0" w:color="auto"/>
        <w:left w:val="none" w:sz="0" w:space="0" w:color="auto"/>
        <w:bottom w:val="none" w:sz="0" w:space="0" w:color="auto"/>
        <w:right w:val="none" w:sz="0" w:space="0" w:color="auto"/>
      </w:divBdr>
    </w:div>
    <w:div w:id="810365790">
      <w:bodyDiv w:val="1"/>
      <w:marLeft w:val="0"/>
      <w:marRight w:val="0"/>
      <w:marTop w:val="0"/>
      <w:marBottom w:val="0"/>
      <w:divBdr>
        <w:top w:val="none" w:sz="0" w:space="0" w:color="auto"/>
        <w:left w:val="none" w:sz="0" w:space="0" w:color="auto"/>
        <w:bottom w:val="none" w:sz="0" w:space="0" w:color="auto"/>
        <w:right w:val="none" w:sz="0" w:space="0" w:color="auto"/>
      </w:divBdr>
    </w:div>
    <w:div w:id="824511860">
      <w:bodyDiv w:val="1"/>
      <w:marLeft w:val="0"/>
      <w:marRight w:val="0"/>
      <w:marTop w:val="0"/>
      <w:marBottom w:val="0"/>
      <w:divBdr>
        <w:top w:val="none" w:sz="0" w:space="0" w:color="auto"/>
        <w:left w:val="none" w:sz="0" w:space="0" w:color="auto"/>
        <w:bottom w:val="none" w:sz="0" w:space="0" w:color="auto"/>
        <w:right w:val="none" w:sz="0" w:space="0" w:color="auto"/>
      </w:divBdr>
    </w:div>
    <w:div w:id="832256243">
      <w:bodyDiv w:val="1"/>
      <w:marLeft w:val="0"/>
      <w:marRight w:val="0"/>
      <w:marTop w:val="0"/>
      <w:marBottom w:val="0"/>
      <w:divBdr>
        <w:top w:val="none" w:sz="0" w:space="0" w:color="auto"/>
        <w:left w:val="none" w:sz="0" w:space="0" w:color="auto"/>
        <w:bottom w:val="none" w:sz="0" w:space="0" w:color="auto"/>
        <w:right w:val="none" w:sz="0" w:space="0" w:color="auto"/>
      </w:divBdr>
    </w:div>
    <w:div w:id="834613438">
      <w:bodyDiv w:val="1"/>
      <w:marLeft w:val="0"/>
      <w:marRight w:val="0"/>
      <w:marTop w:val="0"/>
      <w:marBottom w:val="0"/>
      <w:divBdr>
        <w:top w:val="none" w:sz="0" w:space="0" w:color="auto"/>
        <w:left w:val="none" w:sz="0" w:space="0" w:color="auto"/>
        <w:bottom w:val="none" w:sz="0" w:space="0" w:color="auto"/>
        <w:right w:val="none" w:sz="0" w:space="0" w:color="auto"/>
      </w:divBdr>
    </w:div>
    <w:div w:id="1004864220">
      <w:bodyDiv w:val="1"/>
      <w:marLeft w:val="0"/>
      <w:marRight w:val="0"/>
      <w:marTop w:val="0"/>
      <w:marBottom w:val="0"/>
      <w:divBdr>
        <w:top w:val="none" w:sz="0" w:space="0" w:color="auto"/>
        <w:left w:val="none" w:sz="0" w:space="0" w:color="auto"/>
        <w:bottom w:val="none" w:sz="0" w:space="0" w:color="auto"/>
        <w:right w:val="none" w:sz="0" w:space="0" w:color="auto"/>
      </w:divBdr>
    </w:div>
    <w:div w:id="1195651553">
      <w:bodyDiv w:val="1"/>
      <w:marLeft w:val="0"/>
      <w:marRight w:val="0"/>
      <w:marTop w:val="0"/>
      <w:marBottom w:val="0"/>
      <w:divBdr>
        <w:top w:val="none" w:sz="0" w:space="0" w:color="auto"/>
        <w:left w:val="none" w:sz="0" w:space="0" w:color="auto"/>
        <w:bottom w:val="none" w:sz="0" w:space="0" w:color="auto"/>
        <w:right w:val="none" w:sz="0" w:space="0" w:color="auto"/>
      </w:divBdr>
    </w:div>
    <w:div w:id="1302268413">
      <w:bodyDiv w:val="1"/>
      <w:marLeft w:val="0"/>
      <w:marRight w:val="0"/>
      <w:marTop w:val="0"/>
      <w:marBottom w:val="0"/>
      <w:divBdr>
        <w:top w:val="none" w:sz="0" w:space="0" w:color="auto"/>
        <w:left w:val="none" w:sz="0" w:space="0" w:color="auto"/>
        <w:bottom w:val="none" w:sz="0" w:space="0" w:color="auto"/>
        <w:right w:val="none" w:sz="0" w:space="0" w:color="auto"/>
      </w:divBdr>
    </w:div>
    <w:div w:id="1486892433">
      <w:bodyDiv w:val="1"/>
      <w:marLeft w:val="0"/>
      <w:marRight w:val="0"/>
      <w:marTop w:val="0"/>
      <w:marBottom w:val="0"/>
      <w:divBdr>
        <w:top w:val="none" w:sz="0" w:space="0" w:color="auto"/>
        <w:left w:val="none" w:sz="0" w:space="0" w:color="auto"/>
        <w:bottom w:val="none" w:sz="0" w:space="0" w:color="auto"/>
        <w:right w:val="none" w:sz="0" w:space="0" w:color="auto"/>
      </w:divBdr>
    </w:div>
    <w:div w:id="1668898101">
      <w:bodyDiv w:val="1"/>
      <w:marLeft w:val="0"/>
      <w:marRight w:val="0"/>
      <w:marTop w:val="0"/>
      <w:marBottom w:val="0"/>
      <w:divBdr>
        <w:top w:val="none" w:sz="0" w:space="0" w:color="auto"/>
        <w:left w:val="none" w:sz="0" w:space="0" w:color="auto"/>
        <w:bottom w:val="none" w:sz="0" w:space="0" w:color="auto"/>
        <w:right w:val="none" w:sz="0" w:space="0" w:color="auto"/>
      </w:divBdr>
    </w:div>
    <w:div w:id="1706980474">
      <w:bodyDiv w:val="1"/>
      <w:marLeft w:val="0"/>
      <w:marRight w:val="0"/>
      <w:marTop w:val="0"/>
      <w:marBottom w:val="0"/>
      <w:divBdr>
        <w:top w:val="none" w:sz="0" w:space="0" w:color="auto"/>
        <w:left w:val="none" w:sz="0" w:space="0" w:color="auto"/>
        <w:bottom w:val="none" w:sz="0" w:space="0" w:color="auto"/>
        <w:right w:val="none" w:sz="0" w:space="0" w:color="auto"/>
      </w:divBdr>
    </w:div>
    <w:div w:id="1722942721">
      <w:bodyDiv w:val="1"/>
      <w:marLeft w:val="0"/>
      <w:marRight w:val="0"/>
      <w:marTop w:val="0"/>
      <w:marBottom w:val="0"/>
      <w:divBdr>
        <w:top w:val="none" w:sz="0" w:space="0" w:color="auto"/>
        <w:left w:val="none" w:sz="0" w:space="0" w:color="auto"/>
        <w:bottom w:val="none" w:sz="0" w:space="0" w:color="auto"/>
        <w:right w:val="none" w:sz="0" w:space="0" w:color="auto"/>
      </w:divBdr>
    </w:div>
    <w:div w:id="1738936019">
      <w:bodyDiv w:val="1"/>
      <w:marLeft w:val="0"/>
      <w:marRight w:val="0"/>
      <w:marTop w:val="0"/>
      <w:marBottom w:val="0"/>
      <w:divBdr>
        <w:top w:val="none" w:sz="0" w:space="0" w:color="auto"/>
        <w:left w:val="none" w:sz="0" w:space="0" w:color="auto"/>
        <w:bottom w:val="none" w:sz="0" w:space="0" w:color="auto"/>
        <w:right w:val="none" w:sz="0" w:space="0" w:color="auto"/>
      </w:divBdr>
    </w:div>
    <w:div w:id="1836653657">
      <w:bodyDiv w:val="1"/>
      <w:marLeft w:val="0"/>
      <w:marRight w:val="0"/>
      <w:marTop w:val="0"/>
      <w:marBottom w:val="0"/>
      <w:divBdr>
        <w:top w:val="none" w:sz="0" w:space="0" w:color="auto"/>
        <w:left w:val="none" w:sz="0" w:space="0" w:color="auto"/>
        <w:bottom w:val="none" w:sz="0" w:space="0" w:color="auto"/>
        <w:right w:val="none" w:sz="0" w:space="0" w:color="auto"/>
      </w:divBdr>
    </w:div>
    <w:div w:id="1890070048">
      <w:bodyDiv w:val="1"/>
      <w:marLeft w:val="0"/>
      <w:marRight w:val="0"/>
      <w:marTop w:val="0"/>
      <w:marBottom w:val="0"/>
      <w:divBdr>
        <w:top w:val="none" w:sz="0" w:space="0" w:color="auto"/>
        <w:left w:val="none" w:sz="0" w:space="0" w:color="auto"/>
        <w:bottom w:val="none" w:sz="0" w:space="0" w:color="auto"/>
        <w:right w:val="none" w:sz="0" w:space="0" w:color="auto"/>
      </w:divBdr>
    </w:div>
    <w:div w:id="1895115325">
      <w:bodyDiv w:val="1"/>
      <w:marLeft w:val="0"/>
      <w:marRight w:val="0"/>
      <w:marTop w:val="0"/>
      <w:marBottom w:val="0"/>
      <w:divBdr>
        <w:top w:val="none" w:sz="0" w:space="0" w:color="auto"/>
        <w:left w:val="none" w:sz="0" w:space="0" w:color="auto"/>
        <w:bottom w:val="none" w:sz="0" w:space="0" w:color="auto"/>
        <w:right w:val="none" w:sz="0" w:space="0" w:color="auto"/>
      </w:divBdr>
    </w:div>
    <w:div w:id="1922564487">
      <w:bodyDiv w:val="1"/>
      <w:marLeft w:val="0"/>
      <w:marRight w:val="0"/>
      <w:marTop w:val="0"/>
      <w:marBottom w:val="0"/>
      <w:divBdr>
        <w:top w:val="none" w:sz="0" w:space="0" w:color="auto"/>
        <w:left w:val="none" w:sz="0" w:space="0" w:color="auto"/>
        <w:bottom w:val="none" w:sz="0" w:space="0" w:color="auto"/>
        <w:right w:val="none" w:sz="0" w:space="0" w:color="auto"/>
      </w:divBdr>
    </w:div>
    <w:div w:id="1925525467">
      <w:bodyDiv w:val="1"/>
      <w:marLeft w:val="0"/>
      <w:marRight w:val="0"/>
      <w:marTop w:val="0"/>
      <w:marBottom w:val="0"/>
      <w:divBdr>
        <w:top w:val="none" w:sz="0" w:space="0" w:color="auto"/>
        <w:left w:val="none" w:sz="0" w:space="0" w:color="auto"/>
        <w:bottom w:val="none" w:sz="0" w:space="0" w:color="auto"/>
        <w:right w:val="none" w:sz="0" w:space="0" w:color="auto"/>
      </w:divBdr>
    </w:div>
    <w:div w:id="1964573955">
      <w:bodyDiv w:val="1"/>
      <w:marLeft w:val="0"/>
      <w:marRight w:val="0"/>
      <w:marTop w:val="0"/>
      <w:marBottom w:val="0"/>
      <w:divBdr>
        <w:top w:val="none" w:sz="0" w:space="0" w:color="auto"/>
        <w:left w:val="none" w:sz="0" w:space="0" w:color="auto"/>
        <w:bottom w:val="none" w:sz="0" w:space="0" w:color="auto"/>
        <w:right w:val="none" w:sz="0" w:space="0" w:color="auto"/>
      </w:divBdr>
    </w:div>
    <w:div w:id="2117865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hyperlink" Target="toktom://db/85930" TargetMode="External"/><Relationship Id="rId26" Type="http://schemas.openxmlformats.org/officeDocument/2006/relationships/oleObject" Target="embeddings/oleObject6.bin"/><Relationship Id="rId39" Type="http://schemas.openxmlformats.org/officeDocument/2006/relationships/hyperlink" Target="toktom://db/85930" TargetMode="External"/><Relationship Id="rId3" Type="http://schemas.microsoft.com/office/2007/relationships/stylesWithEffects" Target="stylesWithEffects.xml"/><Relationship Id="rId21" Type="http://schemas.openxmlformats.org/officeDocument/2006/relationships/hyperlink" Target="toktom://db/85930" TargetMode="External"/><Relationship Id="rId34" Type="http://schemas.openxmlformats.org/officeDocument/2006/relationships/oleObject" Target="embeddings/oleObject10.bin"/><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toktom://db/85930"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2.bin"/><Relationship Id="rId2" Type="http://schemas.openxmlformats.org/officeDocument/2006/relationships/styles" Target="styles.xml"/><Relationship Id="rId16" Type="http://schemas.openxmlformats.org/officeDocument/2006/relationships/hyperlink" Target="toktom://db/85930" TargetMode="External"/><Relationship Id="rId20" Type="http://schemas.openxmlformats.org/officeDocument/2006/relationships/hyperlink" Target="toktom://db/85930" TargetMode="External"/><Relationship Id="rId29" Type="http://schemas.openxmlformats.org/officeDocument/2006/relationships/image" Target="media/image8.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11.bin"/><Relationship Id="rId10" Type="http://schemas.openxmlformats.org/officeDocument/2006/relationships/image" Target="media/image2.emf"/><Relationship Id="rId19" Type="http://schemas.openxmlformats.org/officeDocument/2006/relationships/hyperlink" Target="toktom://db/85930" TargetMode="External"/><Relationship Id="rId31"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yperlink" Target="toktom://db/85930" TargetMode="External"/><Relationship Id="rId27" Type="http://schemas.openxmlformats.org/officeDocument/2006/relationships/image" Target="media/image7.emf"/><Relationship Id="rId30" Type="http://schemas.openxmlformats.org/officeDocument/2006/relationships/oleObject" Target="embeddings/oleObject8.bin"/><Relationship Id="rId35" Type="http://schemas.openxmlformats.org/officeDocument/2006/relationships/image" Target="media/image1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BCF3F5-F9F1-46A7-B83E-B74EDDC52C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15</Pages>
  <Words>3249</Words>
  <Characters>18523</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21729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ГНС</dc:creator>
  <cp:lastModifiedBy>Мирзат АММ. Алиев</cp:lastModifiedBy>
  <cp:revision>13</cp:revision>
  <cp:lastPrinted>2020-05-15T08:33:00Z</cp:lastPrinted>
  <dcterms:created xsi:type="dcterms:W3CDTF">2020-09-01T10:44:00Z</dcterms:created>
  <dcterms:modified xsi:type="dcterms:W3CDTF">2020-10-14T08:42:00Z</dcterms:modified>
</cp:coreProperties>
</file>